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ascii="宋体" w:hAnsi="宋体" w:eastAsia="宋体"/>
          <w:b/>
          <w:bCs/>
          <w:sz w:val="72"/>
          <w:szCs w:val="72"/>
        </w:rPr>
      </w:pPr>
      <w:r>
        <w:rPr>
          <w:rFonts w:hint="eastAsia" w:ascii="宋体" w:hAnsi="宋体" w:eastAsia="宋体"/>
          <w:b/>
          <w:bCs/>
          <w:sz w:val="72"/>
          <w:szCs w:val="72"/>
        </w:rPr>
        <w:t>松江区公共法律服务体系建设三年规划</w:t>
      </w:r>
    </w:p>
    <w:p>
      <w:pPr>
        <w:jc w:val="center"/>
        <w:rPr>
          <w:rFonts w:ascii="宋体" w:hAnsi="宋体" w:eastAsia="宋体"/>
          <w:b/>
          <w:bCs/>
          <w:sz w:val="72"/>
          <w:szCs w:val="72"/>
        </w:rPr>
      </w:pPr>
      <w:r>
        <w:rPr>
          <w:rFonts w:hint="eastAsia" w:ascii="宋体" w:hAnsi="宋体" w:eastAsia="宋体"/>
          <w:b/>
          <w:bCs/>
          <w:sz w:val="72"/>
          <w:szCs w:val="72"/>
        </w:rPr>
        <w:t>（2023-2025）</w:t>
      </w:r>
    </w:p>
    <w:p>
      <w:pPr>
        <w:jc w:val="center"/>
        <w:rPr>
          <w:rFonts w:ascii="宋体" w:hAnsi="宋体" w:eastAsia="宋体"/>
          <w:b/>
          <w:bCs/>
          <w:sz w:val="72"/>
          <w:szCs w:val="72"/>
        </w:rPr>
      </w:pPr>
    </w:p>
    <w:p>
      <w:pPr>
        <w:jc w:val="center"/>
        <w:rPr>
          <w:rFonts w:ascii="楷体" w:hAnsi="楷体" w:eastAsia="楷体"/>
          <w:sz w:val="52"/>
          <w:szCs w:val="52"/>
        </w:rPr>
      </w:pPr>
      <w:r>
        <w:rPr>
          <w:rFonts w:hint="eastAsia" w:ascii="楷体" w:hAnsi="楷体" w:eastAsia="楷体"/>
          <w:sz w:val="52"/>
          <w:szCs w:val="52"/>
        </w:rPr>
        <w:t>（征求意见稿）</w:t>
      </w:r>
    </w:p>
    <w:p>
      <w:pPr>
        <w:jc w:val="center"/>
        <w:rPr>
          <w:rFonts w:ascii="楷体" w:hAnsi="楷体" w:eastAsia="楷体"/>
          <w:sz w:val="52"/>
          <w:szCs w:val="52"/>
        </w:rPr>
      </w:pPr>
    </w:p>
    <w:p>
      <w:pPr>
        <w:jc w:val="center"/>
        <w:rPr>
          <w:rFonts w:ascii="楷体" w:hAnsi="楷体" w:eastAsia="楷体"/>
          <w:sz w:val="52"/>
          <w:szCs w:val="52"/>
        </w:rPr>
      </w:pPr>
    </w:p>
    <w:p>
      <w:pPr>
        <w:jc w:val="center"/>
        <w:rPr>
          <w:rFonts w:ascii="楷体" w:hAnsi="楷体" w:eastAsia="楷体"/>
          <w:sz w:val="52"/>
          <w:szCs w:val="52"/>
        </w:rPr>
      </w:pPr>
    </w:p>
    <w:p>
      <w:pPr>
        <w:jc w:val="center"/>
        <w:rPr>
          <w:rFonts w:ascii="楷体" w:hAnsi="楷体" w:eastAsia="楷体"/>
          <w:sz w:val="52"/>
          <w:szCs w:val="52"/>
        </w:rPr>
      </w:pPr>
    </w:p>
    <w:p>
      <w:pPr>
        <w:jc w:val="center"/>
        <w:rPr>
          <w:rFonts w:ascii="宋体" w:hAnsi="宋体" w:eastAsia="宋体"/>
          <w:b/>
          <w:bCs/>
          <w:sz w:val="44"/>
          <w:szCs w:val="44"/>
        </w:rPr>
      </w:pPr>
      <w:r>
        <w:rPr>
          <w:rFonts w:hint="eastAsia" w:ascii="宋体" w:hAnsi="宋体" w:eastAsia="宋体"/>
          <w:b/>
          <w:bCs/>
          <w:sz w:val="44"/>
          <w:szCs w:val="44"/>
        </w:rPr>
        <w:t>2</w:t>
      </w:r>
      <w:r>
        <w:rPr>
          <w:rFonts w:ascii="宋体" w:hAnsi="宋体" w:eastAsia="宋体"/>
          <w:b/>
          <w:bCs/>
          <w:sz w:val="44"/>
          <w:szCs w:val="44"/>
        </w:rPr>
        <w:t>023</w:t>
      </w:r>
      <w:r>
        <w:rPr>
          <w:rFonts w:hint="eastAsia" w:ascii="宋体" w:hAnsi="宋体" w:eastAsia="宋体"/>
          <w:b/>
          <w:bCs/>
          <w:sz w:val="44"/>
          <w:szCs w:val="44"/>
        </w:rPr>
        <w:t>年3月</w:t>
      </w:r>
    </w:p>
    <w:p>
      <w:pPr>
        <w:widowControl/>
        <w:jc w:val="left"/>
        <w:rPr>
          <w:rFonts w:ascii="仿宋" w:hAnsi="仿宋" w:eastAsia="仿宋"/>
          <w:sz w:val="32"/>
          <w:szCs w:val="32"/>
        </w:rPr>
      </w:pPr>
      <w:r>
        <w:rPr>
          <w:rFonts w:ascii="仿宋" w:hAnsi="仿宋" w:eastAsia="仿宋"/>
          <w:sz w:val="32"/>
          <w:szCs w:val="32"/>
        </w:rPr>
        <w:br w:type="page"/>
      </w:r>
    </w:p>
    <w:p>
      <w:pPr>
        <w:jc w:val="center"/>
        <w:rPr>
          <w:rFonts w:ascii="黑体" w:hAnsi="黑体" w:eastAsia="黑体"/>
          <w:sz w:val="32"/>
          <w:szCs w:val="32"/>
        </w:rPr>
      </w:pPr>
      <w:r>
        <w:rPr>
          <w:rFonts w:hint="eastAsia" w:ascii="黑体" w:hAnsi="黑体" w:eastAsia="黑体"/>
          <w:sz w:val="32"/>
          <w:szCs w:val="32"/>
        </w:rPr>
        <w:t>目</w:t>
      </w:r>
      <w:r>
        <w:rPr>
          <w:rFonts w:ascii="黑体" w:hAnsi="黑体" w:eastAsia="黑体"/>
          <w:sz w:val="32"/>
          <w:szCs w:val="32"/>
        </w:rPr>
        <w:t xml:space="preserve">  录</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规划背景</w:t>
      </w:r>
      <w:bookmarkStart w:id="0" w:name="_Hlk129428881"/>
      <w:r>
        <w:rPr>
          <w:rFonts w:ascii="黑体" w:hAnsi="黑体" w:eastAsia="黑体"/>
          <w:sz w:val="32"/>
          <w:szCs w:val="32"/>
        </w:rPr>
        <w:t>………………</w:t>
      </w:r>
      <w:bookmarkEnd w:id="0"/>
      <w:r>
        <w:rPr>
          <w:rFonts w:ascii="黑体" w:hAnsi="黑体" w:eastAsia="黑体"/>
          <w:sz w:val="32"/>
          <w:szCs w:val="32"/>
        </w:rPr>
        <w:t>………………………………3</w:t>
      </w:r>
    </w:p>
    <w:p>
      <w:pPr>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发展基础……………………………………………3</w:t>
      </w:r>
    </w:p>
    <w:p>
      <w:pPr>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面临形势……</w:t>
      </w:r>
      <w:bookmarkStart w:id="1" w:name="_Hlk129429089"/>
      <w:r>
        <w:rPr>
          <w:rFonts w:ascii="仿宋" w:hAnsi="仿宋" w:eastAsia="仿宋"/>
          <w:sz w:val="32"/>
          <w:szCs w:val="32"/>
        </w:rPr>
        <w:t>………………………………………</w:t>
      </w:r>
      <w:bookmarkEnd w:id="1"/>
      <w:r>
        <w:rPr>
          <w:rFonts w:ascii="仿宋" w:hAnsi="仿宋" w:eastAsia="仿宋"/>
          <w:sz w:val="32"/>
          <w:szCs w:val="32"/>
        </w:rPr>
        <w:t>5</w:t>
      </w:r>
    </w:p>
    <w:p>
      <w:pPr>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总体要求……………………………</w:t>
      </w:r>
      <w:bookmarkStart w:id="2" w:name="_Hlk129428911"/>
      <w:r>
        <w:rPr>
          <w:rFonts w:ascii="黑体" w:hAnsi="黑体" w:eastAsia="黑体"/>
          <w:sz w:val="32"/>
          <w:szCs w:val="32"/>
        </w:rPr>
        <w:t>………</w:t>
      </w:r>
      <w:bookmarkEnd w:id="2"/>
      <w:r>
        <w:rPr>
          <w:rFonts w:ascii="黑体" w:hAnsi="黑体" w:eastAsia="黑体"/>
          <w:sz w:val="32"/>
          <w:szCs w:val="32"/>
        </w:rPr>
        <w:t>…………6</w:t>
      </w:r>
    </w:p>
    <w:p>
      <w:pPr>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指导思想……………………………………………6</w:t>
      </w:r>
    </w:p>
    <w:p>
      <w:pPr>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基本原则……………………………………………7</w:t>
      </w:r>
    </w:p>
    <w:p>
      <w:pPr>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主要目标……………………………………………7</w:t>
      </w:r>
    </w:p>
    <w:p>
      <w:pPr>
        <w:rPr>
          <w:rFonts w:ascii="黑体" w:hAnsi="黑体" w:eastAsia="黑体"/>
          <w:sz w:val="32"/>
        </w:rPr>
      </w:pPr>
      <w:r>
        <w:rPr>
          <w:rFonts w:hint="eastAsia" w:ascii="黑体" w:hAnsi="黑体" w:eastAsia="黑体"/>
          <w:sz w:val="32"/>
        </w:rPr>
        <w:t>三、</w:t>
      </w:r>
      <w:r>
        <w:rPr>
          <w:rFonts w:ascii="黑体" w:hAnsi="黑体" w:eastAsia="黑体"/>
          <w:sz w:val="32"/>
        </w:rPr>
        <w:t>坚定公共法律服务体系建设正确方向………………11</w:t>
      </w:r>
    </w:p>
    <w:p>
      <w:pPr>
        <w:rPr>
          <w:rFonts w:ascii="仿宋" w:hAnsi="仿宋" w:eastAsia="仿宋"/>
          <w:sz w:val="32"/>
        </w:rPr>
      </w:pPr>
      <w:r>
        <w:rPr>
          <w:rFonts w:hint="eastAsia" w:ascii="仿宋" w:hAnsi="仿宋" w:eastAsia="仿宋"/>
          <w:sz w:val="32"/>
        </w:rPr>
        <w:t>（一）坚持正确政治立场</w:t>
      </w:r>
      <w:r>
        <w:rPr>
          <w:rFonts w:ascii="仿宋" w:hAnsi="仿宋" w:eastAsia="仿宋"/>
          <w:sz w:val="32"/>
        </w:rPr>
        <w:t>…………………………………11</w:t>
      </w:r>
    </w:p>
    <w:p>
      <w:pPr>
        <w:rPr>
          <w:rFonts w:ascii="仿宋" w:hAnsi="仿宋" w:eastAsia="仿宋"/>
          <w:sz w:val="32"/>
        </w:rPr>
      </w:pPr>
      <w:r>
        <w:rPr>
          <w:rFonts w:hint="eastAsia" w:ascii="仿宋" w:hAnsi="仿宋" w:eastAsia="仿宋"/>
          <w:sz w:val="32"/>
        </w:rPr>
        <w:t>（二）坚持党的政治领导</w:t>
      </w:r>
      <w:r>
        <w:rPr>
          <w:rFonts w:ascii="仿宋" w:hAnsi="仿宋" w:eastAsia="仿宋"/>
          <w:sz w:val="32"/>
        </w:rPr>
        <w:t>…………………………………11</w:t>
      </w:r>
    </w:p>
    <w:p>
      <w:pPr>
        <w:rPr>
          <w:rFonts w:ascii="仿宋" w:hAnsi="仿宋" w:eastAsia="仿宋"/>
          <w:sz w:val="32"/>
        </w:rPr>
      </w:pPr>
      <w:r>
        <w:rPr>
          <w:rFonts w:hint="eastAsia" w:ascii="仿宋" w:hAnsi="仿宋" w:eastAsia="仿宋"/>
          <w:sz w:val="32"/>
        </w:rPr>
        <w:t>（三）坚持行业党建引领</w:t>
      </w:r>
      <w:r>
        <w:rPr>
          <w:rFonts w:ascii="仿宋" w:hAnsi="仿宋" w:eastAsia="仿宋"/>
          <w:sz w:val="32"/>
        </w:rPr>
        <w:t>………………</w:t>
      </w:r>
      <w:bookmarkStart w:id="3" w:name="_Hlk129429125"/>
      <w:r>
        <w:rPr>
          <w:rFonts w:ascii="仿宋" w:hAnsi="仿宋" w:eastAsia="仿宋"/>
          <w:sz w:val="32"/>
        </w:rPr>
        <w:t>…………………</w:t>
      </w:r>
      <w:bookmarkEnd w:id="3"/>
      <w:r>
        <w:rPr>
          <w:rFonts w:ascii="仿宋" w:hAnsi="仿宋" w:eastAsia="仿宋"/>
          <w:sz w:val="32"/>
        </w:rPr>
        <w:t>12</w:t>
      </w:r>
    </w:p>
    <w:p>
      <w:pPr>
        <w:rPr>
          <w:sz w:val="32"/>
        </w:rPr>
      </w:pPr>
      <w:r>
        <w:rPr>
          <w:rFonts w:hint="eastAsia" w:ascii="黑体" w:hAnsi="黑体" w:eastAsia="黑体"/>
          <w:sz w:val="32"/>
          <w:szCs w:val="32"/>
        </w:rPr>
        <w:t>四</w:t>
      </w:r>
      <w:r>
        <w:rPr>
          <w:rFonts w:ascii="黑体" w:hAnsi="黑体" w:eastAsia="黑体"/>
          <w:sz w:val="32"/>
          <w:szCs w:val="32"/>
        </w:rPr>
        <w:t>、服务国家战略和重大任务…………………………12</w:t>
      </w:r>
    </w:p>
    <w:p>
      <w:pPr>
        <w:rPr>
          <w:rFonts w:ascii="仿宋" w:hAnsi="仿宋" w:eastAsia="仿宋"/>
          <w:bCs/>
          <w:sz w:val="32"/>
          <w:szCs w:val="32"/>
        </w:rPr>
      </w:pPr>
      <w:r>
        <w:rPr>
          <w:rFonts w:ascii="仿宋" w:hAnsi="仿宋" w:eastAsia="仿宋"/>
          <w:bCs/>
          <w:sz w:val="32"/>
          <w:szCs w:val="32"/>
        </w:rPr>
        <w:t>（</w:t>
      </w:r>
      <w:r>
        <w:rPr>
          <w:rFonts w:hint="eastAsia" w:ascii="仿宋" w:hAnsi="仿宋" w:eastAsia="仿宋"/>
          <w:bCs/>
          <w:sz w:val="32"/>
          <w:szCs w:val="32"/>
        </w:rPr>
        <w:t>四</w:t>
      </w:r>
      <w:r>
        <w:rPr>
          <w:rFonts w:ascii="仿宋" w:hAnsi="仿宋" w:eastAsia="仿宋"/>
          <w:bCs/>
          <w:sz w:val="32"/>
          <w:szCs w:val="32"/>
        </w:rPr>
        <w:t>）法治助力长三角G60科创走廊发展…</w:t>
      </w:r>
      <w:bookmarkStart w:id="4" w:name="_Hlk129429306"/>
      <w:r>
        <w:rPr>
          <w:rFonts w:ascii="仿宋" w:hAnsi="仿宋" w:eastAsia="仿宋"/>
          <w:bCs/>
          <w:sz w:val="32"/>
          <w:szCs w:val="32"/>
        </w:rPr>
        <w:t>…………</w:t>
      </w:r>
      <w:bookmarkEnd w:id="4"/>
      <w:r>
        <w:rPr>
          <w:rFonts w:ascii="仿宋" w:hAnsi="仿宋" w:eastAsia="仿宋"/>
          <w:bCs/>
          <w:sz w:val="32"/>
          <w:szCs w:val="32"/>
        </w:rPr>
        <w:t>13</w:t>
      </w:r>
    </w:p>
    <w:p>
      <w:pPr>
        <w:rPr>
          <w:rFonts w:ascii="仿宋" w:hAnsi="仿宋" w:eastAsia="仿宋"/>
          <w:bCs/>
          <w:sz w:val="32"/>
          <w:szCs w:val="32"/>
        </w:rPr>
      </w:pPr>
      <w:r>
        <w:rPr>
          <w:rFonts w:ascii="仿宋" w:hAnsi="仿宋" w:eastAsia="仿宋"/>
          <w:bCs/>
          <w:sz w:val="32"/>
          <w:szCs w:val="32"/>
        </w:rPr>
        <w:t>（</w:t>
      </w:r>
      <w:r>
        <w:rPr>
          <w:rFonts w:hint="eastAsia" w:ascii="仿宋" w:hAnsi="仿宋" w:eastAsia="仿宋"/>
          <w:bCs/>
          <w:sz w:val="32"/>
          <w:szCs w:val="32"/>
        </w:rPr>
        <w:t>五</w:t>
      </w:r>
      <w:r>
        <w:rPr>
          <w:rFonts w:ascii="仿宋" w:hAnsi="仿宋" w:eastAsia="仿宋"/>
          <w:bCs/>
          <w:sz w:val="32"/>
          <w:szCs w:val="32"/>
        </w:rPr>
        <w:t>）服务保障各类企业法律服务需求………………13</w:t>
      </w:r>
    </w:p>
    <w:p>
      <w:pPr>
        <w:rPr>
          <w:rFonts w:ascii="仿宋" w:hAnsi="仿宋" w:eastAsia="仿宋"/>
          <w:bCs/>
          <w:sz w:val="32"/>
          <w:szCs w:val="32"/>
        </w:rPr>
      </w:pPr>
      <w:r>
        <w:rPr>
          <w:rFonts w:ascii="仿宋" w:hAnsi="仿宋" w:eastAsia="仿宋"/>
          <w:bCs/>
          <w:sz w:val="32"/>
          <w:szCs w:val="32"/>
        </w:rPr>
        <w:t>（</w:t>
      </w:r>
      <w:r>
        <w:rPr>
          <w:rFonts w:hint="eastAsia" w:ascii="仿宋" w:hAnsi="仿宋" w:eastAsia="仿宋"/>
          <w:bCs/>
          <w:sz w:val="32"/>
          <w:szCs w:val="32"/>
        </w:rPr>
        <w:t>六</w:t>
      </w:r>
      <w:r>
        <w:rPr>
          <w:rFonts w:ascii="仿宋" w:hAnsi="仿宋" w:eastAsia="仿宋"/>
          <w:bCs/>
          <w:sz w:val="32"/>
          <w:szCs w:val="32"/>
        </w:rPr>
        <w:t>）全力护航开放型经济体制创新发展……………14</w:t>
      </w:r>
    </w:p>
    <w:p>
      <w:pPr>
        <w:rPr>
          <w:rFonts w:ascii="黑体" w:hAnsi="黑体" w:eastAsia="黑体"/>
          <w:sz w:val="32"/>
          <w:szCs w:val="32"/>
        </w:rPr>
      </w:pPr>
      <w:r>
        <w:rPr>
          <w:rFonts w:hint="eastAsia" w:ascii="黑体" w:hAnsi="黑体" w:eastAsia="黑体"/>
          <w:sz w:val="32"/>
          <w:szCs w:val="32"/>
        </w:rPr>
        <w:t>五、加快推进松江公共法律服务均衡发展</w:t>
      </w:r>
      <w:r>
        <w:rPr>
          <w:rFonts w:ascii="黑体" w:hAnsi="黑体" w:eastAsia="黑体"/>
          <w:sz w:val="32"/>
          <w:szCs w:val="32"/>
        </w:rPr>
        <w:t>………………14</w:t>
      </w:r>
    </w:p>
    <w:p>
      <w:pPr>
        <w:rPr>
          <w:rFonts w:ascii="仿宋" w:hAnsi="仿宋" w:eastAsia="仿宋"/>
          <w:sz w:val="32"/>
          <w:szCs w:val="32"/>
        </w:rPr>
      </w:pPr>
      <w:r>
        <w:rPr>
          <w:rFonts w:hint="eastAsia" w:ascii="仿宋" w:hAnsi="仿宋" w:eastAsia="仿宋"/>
          <w:sz w:val="32"/>
          <w:szCs w:val="32"/>
        </w:rPr>
        <w:t>（七）统筹配置城乡法律服务资源</w:t>
      </w:r>
      <w:r>
        <w:rPr>
          <w:rFonts w:ascii="仿宋" w:hAnsi="仿宋" w:eastAsia="仿宋"/>
          <w:sz w:val="32"/>
          <w:szCs w:val="32"/>
        </w:rPr>
        <w:t>………………………14</w:t>
      </w:r>
    </w:p>
    <w:p>
      <w:pPr>
        <w:rPr>
          <w:rFonts w:ascii="仿宋" w:hAnsi="仿宋" w:eastAsia="仿宋"/>
          <w:sz w:val="32"/>
          <w:szCs w:val="32"/>
        </w:rPr>
      </w:pPr>
      <w:r>
        <w:rPr>
          <w:rFonts w:hint="eastAsia" w:ascii="仿宋" w:hAnsi="仿宋" w:eastAsia="仿宋"/>
          <w:sz w:val="32"/>
          <w:szCs w:val="32"/>
        </w:rPr>
        <w:t>（八）扩大公共法律服务多元供给</w:t>
      </w:r>
      <w:r>
        <w:rPr>
          <w:rFonts w:ascii="仿宋" w:hAnsi="仿宋" w:eastAsia="仿宋"/>
          <w:sz w:val="32"/>
          <w:szCs w:val="32"/>
        </w:rPr>
        <w:t>………………………15</w:t>
      </w:r>
    </w:p>
    <w:p>
      <w:pPr>
        <w:rPr>
          <w:rFonts w:ascii="仿宋" w:hAnsi="仿宋" w:eastAsia="仿宋"/>
          <w:sz w:val="32"/>
          <w:szCs w:val="32"/>
        </w:rPr>
      </w:pPr>
      <w:bookmarkStart w:id="5" w:name="_Hlk128251982"/>
      <w:bookmarkEnd w:id="5"/>
      <w:r>
        <w:rPr>
          <w:rFonts w:hint="eastAsia" w:ascii="仿宋" w:hAnsi="仿宋" w:eastAsia="仿宋"/>
          <w:sz w:val="32"/>
          <w:szCs w:val="32"/>
        </w:rPr>
        <w:t>（九）重点保障特殊群体合法权益</w:t>
      </w:r>
      <w:r>
        <w:rPr>
          <w:rFonts w:ascii="仿宋" w:hAnsi="仿宋" w:eastAsia="仿宋"/>
          <w:sz w:val="32"/>
          <w:szCs w:val="32"/>
        </w:rPr>
        <w:t>………………………15</w:t>
      </w:r>
    </w:p>
    <w:p>
      <w:pPr>
        <w:rPr>
          <w:rFonts w:ascii="黑体" w:hAnsi="黑体" w:eastAsia="黑体"/>
          <w:sz w:val="32"/>
          <w:szCs w:val="32"/>
        </w:rPr>
      </w:pPr>
      <w:r>
        <w:rPr>
          <w:rFonts w:hint="eastAsia" w:ascii="黑体" w:hAnsi="黑体" w:eastAsia="黑体"/>
          <w:sz w:val="32"/>
          <w:szCs w:val="32"/>
        </w:rPr>
        <w:t>六、完善覆盖全业务全时空的公共法律服务网络</w:t>
      </w:r>
      <w:r>
        <w:rPr>
          <w:rFonts w:ascii="黑体" w:hAnsi="黑体" w:eastAsia="黑体"/>
          <w:sz w:val="32"/>
          <w:szCs w:val="32"/>
        </w:rPr>
        <w:t>………15</w:t>
      </w:r>
    </w:p>
    <w:p>
      <w:pPr>
        <w:rPr>
          <w:rFonts w:ascii="仿宋" w:hAnsi="仿宋" w:eastAsia="仿宋"/>
          <w:sz w:val="32"/>
          <w:szCs w:val="32"/>
        </w:rPr>
      </w:pPr>
      <w:r>
        <w:rPr>
          <w:rFonts w:hint="eastAsia" w:ascii="仿宋" w:hAnsi="仿宋" w:eastAsia="仿宋"/>
          <w:sz w:val="32"/>
          <w:szCs w:val="32"/>
        </w:rPr>
        <w:t>（十）推进公共法律服务实体平台有效覆盖</w:t>
      </w:r>
      <w:r>
        <w:rPr>
          <w:rFonts w:ascii="仿宋" w:hAnsi="仿宋" w:eastAsia="仿宋"/>
          <w:sz w:val="32"/>
          <w:szCs w:val="32"/>
        </w:rPr>
        <w:t>……………15</w:t>
      </w:r>
    </w:p>
    <w:p>
      <w:pPr>
        <w:rPr>
          <w:rFonts w:ascii="仿宋" w:hAnsi="仿宋" w:eastAsia="仿宋"/>
          <w:sz w:val="32"/>
          <w:szCs w:val="32"/>
        </w:rPr>
      </w:pPr>
      <w:r>
        <w:rPr>
          <w:rFonts w:hint="eastAsia" w:ascii="仿宋" w:hAnsi="仿宋" w:eastAsia="仿宋"/>
          <w:sz w:val="32"/>
          <w:szCs w:val="32"/>
        </w:rPr>
        <w:t>（十一）推动公共法律服务热线精准服务</w:t>
      </w:r>
      <w:r>
        <w:rPr>
          <w:rFonts w:ascii="仿宋" w:hAnsi="仿宋" w:eastAsia="仿宋"/>
          <w:sz w:val="32"/>
          <w:szCs w:val="32"/>
        </w:rPr>
        <w:t>…………………16</w:t>
      </w:r>
    </w:p>
    <w:p>
      <w:pPr>
        <w:rPr>
          <w:rFonts w:ascii="仿宋" w:hAnsi="仿宋" w:eastAsia="仿宋"/>
          <w:sz w:val="32"/>
          <w:szCs w:val="32"/>
        </w:rPr>
      </w:pPr>
      <w:bookmarkStart w:id="6" w:name="_Hlk128300449"/>
      <w:bookmarkEnd w:id="6"/>
      <w:r>
        <w:rPr>
          <w:rFonts w:hint="eastAsia" w:ascii="仿宋" w:hAnsi="仿宋" w:eastAsia="仿宋"/>
          <w:sz w:val="32"/>
          <w:szCs w:val="32"/>
        </w:rPr>
        <w:t>（十二）优化升级公共法律服务网络平台</w:t>
      </w:r>
      <w:r>
        <w:rPr>
          <w:rFonts w:ascii="仿宋" w:hAnsi="仿宋" w:eastAsia="仿宋"/>
          <w:sz w:val="32"/>
          <w:szCs w:val="32"/>
        </w:rPr>
        <w:t>…………………16</w:t>
      </w:r>
    </w:p>
    <w:p>
      <w:pPr>
        <w:rPr>
          <w:rFonts w:ascii="黑体" w:hAnsi="黑体" w:eastAsia="黑体"/>
          <w:sz w:val="32"/>
          <w:szCs w:val="32"/>
        </w:rPr>
      </w:pPr>
      <w:r>
        <w:rPr>
          <w:rFonts w:hint="eastAsia" w:ascii="黑体" w:hAnsi="黑体" w:eastAsia="黑体"/>
          <w:sz w:val="32"/>
          <w:szCs w:val="32"/>
        </w:rPr>
        <w:t>七</w:t>
      </w:r>
      <w:r>
        <w:rPr>
          <w:rFonts w:hint="cs" w:ascii="黑体" w:hAnsi="黑体" w:eastAsia="黑体"/>
          <w:sz w:val="32"/>
          <w:szCs w:val="32"/>
        </w:rPr>
        <w:t>、保障司法公正和法律服务行业健康发展</w:t>
      </w:r>
      <w:r>
        <w:rPr>
          <w:rFonts w:ascii="黑体" w:hAnsi="黑体" w:eastAsia="黑体"/>
          <w:sz w:val="32"/>
          <w:szCs w:val="32"/>
        </w:rPr>
        <w:t>…………16</w:t>
      </w:r>
    </w:p>
    <w:p>
      <w:pPr>
        <w:rPr>
          <w:rFonts w:ascii="仿宋" w:hAnsi="仿宋" w:eastAsia="仿宋"/>
          <w:sz w:val="32"/>
          <w:szCs w:val="32"/>
        </w:rPr>
      </w:pPr>
      <w:r>
        <w:rPr>
          <w:rFonts w:hint="cs" w:ascii="仿宋" w:hAnsi="仿宋" w:eastAsia="仿宋"/>
          <w:sz w:val="32"/>
          <w:szCs w:val="32"/>
        </w:rPr>
        <w:t>（</w:t>
      </w:r>
      <w:r>
        <w:rPr>
          <w:rFonts w:hint="eastAsia" w:ascii="仿宋" w:hAnsi="仿宋" w:eastAsia="仿宋"/>
          <w:sz w:val="32"/>
          <w:szCs w:val="32"/>
        </w:rPr>
        <w:t>十三</w:t>
      </w:r>
      <w:r>
        <w:rPr>
          <w:rFonts w:hint="cs" w:ascii="仿宋" w:hAnsi="仿宋" w:eastAsia="仿宋"/>
          <w:sz w:val="32"/>
          <w:szCs w:val="32"/>
        </w:rPr>
        <w:t>）健全完善律师管理体系</w:t>
      </w:r>
      <w:r>
        <w:rPr>
          <w:rFonts w:ascii="仿宋" w:hAnsi="仿宋" w:eastAsia="仿宋"/>
          <w:sz w:val="32"/>
          <w:szCs w:val="32"/>
        </w:rPr>
        <w:t>…………………………16</w:t>
      </w:r>
    </w:p>
    <w:p>
      <w:pPr>
        <w:rPr>
          <w:rFonts w:ascii="仿宋" w:hAnsi="仿宋" w:eastAsia="仿宋"/>
          <w:sz w:val="32"/>
          <w:szCs w:val="32"/>
        </w:rPr>
      </w:pPr>
      <w:r>
        <w:rPr>
          <w:rFonts w:hint="cs" w:ascii="仿宋" w:hAnsi="仿宋" w:eastAsia="仿宋"/>
          <w:sz w:val="32"/>
          <w:szCs w:val="32"/>
        </w:rPr>
        <w:t>（</w:t>
      </w:r>
      <w:r>
        <w:rPr>
          <w:rFonts w:hint="eastAsia" w:ascii="仿宋" w:hAnsi="仿宋" w:eastAsia="仿宋"/>
          <w:sz w:val="32"/>
          <w:szCs w:val="32"/>
        </w:rPr>
        <w:t>十四</w:t>
      </w:r>
      <w:r>
        <w:rPr>
          <w:rFonts w:hint="cs" w:ascii="仿宋" w:hAnsi="仿宋" w:eastAsia="仿宋"/>
          <w:sz w:val="32"/>
          <w:szCs w:val="32"/>
        </w:rPr>
        <w:t>）深入推进公证行业高质量发展</w:t>
      </w:r>
      <w:r>
        <w:rPr>
          <w:rFonts w:ascii="仿宋" w:hAnsi="仿宋" w:eastAsia="仿宋"/>
          <w:sz w:val="32"/>
          <w:szCs w:val="32"/>
        </w:rPr>
        <w:t>…………………17</w:t>
      </w:r>
    </w:p>
    <w:p>
      <w:pPr>
        <w:rPr>
          <w:rFonts w:ascii="仿宋" w:hAnsi="仿宋" w:eastAsia="仿宋"/>
          <w:sz w:val="32"/>
          <w:szCs w:val="32"/>
        </w:rPr>
      </w:pPr>
      <w:r>
        <w:rPr>
          <w:rFonts w:hint="cs" w:ascii="仿宋" w:hAnsi="仿宋" w:eastAsia="仿宋"/>
          <w:sz w:val="32"/>
          <w:szCs w:val="32"/>
        </w:rPr>
        <w:t>（</w:t>
      </w:r>
      <w:r>
        <w:rPr>
          <w:rFonts w:hint="eastAsia" w:ascii="仿宋" w:hAnsi="仿宋" w:eastAsia="仿宋"/>
          <w:sz w:val="32"/>
          <w:szCs w:val="32"/>
        </w:rPr>
        <w:t>十五</w:t>
      </w:r>
      <w:r>
        <w:rPr>
          <w:rFonts w:hint="cs" w:ascii="仿宋" w:hAnsi="仿宋" w:eastAsia="仿宋"/>
          <w:sz w:val="32"/>
          <w:szCs w:val="32"/>
        </w:rPr>
        <w:t>）积极推进法律援助工作</w:t>
      </w:r>
      <w:r>
        <w:rPr>
          <w:rFonts w:ascii="仿宋" w:hAnsi="仿宋" w:eastAsia="仿宋"/>
          <w:sz w:val="32"/>
          <w:szCs w:val="32"/>
        </w:rPr>
        <w:t>…………………………17</w:t>
      </w:r>
    </w:p>
    <w:p>
      <w:pPr>
        <w:rPr>
          <w:rFonts w:ascii="黑体" w:hAnsi="黑体" w:eastAsia="黑体"/>
          <w:sz w:val="32"/>
          <w:szCs w:val="32"/>
        </w:rPr>
      </w:pPr>
      <w:r>
        <w:rPr>
          <w:rFonts w:hint="eastAsia" w:ascii="黑体" w:hAnsi="黑体" w:eastAsia="黑体"/>
          <w:sz w:val="32"/>
          <w:szCs w:val="32"/>
        </w:rPr>
        <w:t>八、持续提升公民法治素养……</w:t>
      </w:r>
      <w:r>
        <w:rPr>
          <w:rFonts w:ascii="黑体" w:hAnsi="黑体" w:eastAsia="黑体"/>
          <w:sz w:val="32"/>
          <w:szCs w:val="32"/>
        </w:rPr>
        <w:t>…</w:t>
      </w:r>
      <w:bookmarkStart w:id="7" w:name="_Hlk129429009"/>
      <w:r>
        <w:rPr>
          <w:rFonts w:ascii="黑体" w:hAnsi="黑体" w:eastAsia="黑体"/>
          <w:sz w:val="32"/>
          <w:szCs w:val="32"/>
        </w:rPr>
        <w:t>……………………</w:t>
      </w:r>
      <w:bookmarkEnd w:id="7"/>
      <w:r>
        <w:rPr>
          <w:rFonts w:hint="eastAsia" w:ascii="黑体" w:hAnsi="黑体" w:eastAsia="黑体"/>
          <w:sz w:val="32"/>
          <w:szCs w:val="32"/>
        </w:rPr>
        <w:t>1</w:t>
      </w:r>
      <w:r>
        <w:rPr>
          <w:rFonts w:ascii="黑体" w:hAnsi="黑体" w:eastAsia="黑体"/>
          <w:sz w:val="32"/>
          <w:szCs w:val="32"/>
        </w:rPr>
        <w:t>7</w:t>
      </w:r>
    </w:p>
    <w:p>
      <w:pPr>
        <w:rPr>
          <w:rFonts w:ascii="仿宋" w:hAnsi="仿宋" w:eastAsia="仿宋"/>
          <w:sz w:val="32"/>
          <w:szCs w:val="32"/>
        </w:rPr>
      </w:pPr>
      <w:r>
        <w:rPr>
          <w:rFonts w:hint="eastAsia" w:ascii="仿宋" w:hAnsi="仿宋" w:eastAsia="仿宋"/>
          <w:sz w:val="32"/>
          <w:szCs w:val="32"/>
        </w:rPr>
        <w:t>（十六）全面落实“八五”普法规划……</w:t>
      </w: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7</w:t>
      </w:r>
    </w:p>
    <w:p>
      <w:pPr>
        <w:rPr>
          <w:rFonts w:ascii="仿宋" w:hAnsi="仿宋" w:eastAsia="仿宋"/>
          <w:sz w:val="32"/>
          <w:szCs w:val="32"/>
        </w:rPr>
      </w:pPr>
      <w:r>
        <w:rPr>
          <w:rFonts w:hint="eastAsia" w:ascii="仿宋" w:hAnsi="仿宋" w:eastAsia="仿宋"/>
          <w:sz w:val="32"/>
          <w:szCs w:val="32"/>
        </w:rPr>
        <w:t>（十七）</w:t>
      </w:r>
      <w:r>
        <w:rPr>
          <w:rFonts w:ascii="仿宋" w:hAnsi="仿宋" w:eastAsia="仿宋"/>
          <w:bCs/>
          <w:sz w:val="32"/>
          <w:szCs w:val="32"/>
        </w:rPr>
        <w:t>提升公民法治素养和道德素质…………………18</w:t>
      </w:r>
    </w:p>
    <w:p>
      <w:pPr>
        <w:rPr>
          <w:rFonts w:ascii="仿宋" w:hAnsi="仿宋" w:eastAsia="仿宋"/>
          <w:sz w:val="32"/>
          <w:szCs w:val="32"/>
        </w:rPr>
      </w:pPr>
      <w:r>
        <w:rPr>
          <w:rFonts w:hint="eastAsia" w:ascii="仿宋" w:hAnsi="仿宋" w:eastAsia="仿宋"/>
          <w:sz w:val="32"/>
          <w:szCs w:val="32"/>
        </w:rPr>
        <w:t>（十八）发展松江特色法治文化…………</w:t>
      </w: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8</w:t>
      </w:r>
    </w:p>
    <w:p>
      <w:pPr>
        <w:rPr>
          <w:rFonts w:ascii="黑体" w:hAnsi="黑体" w:eastAsia="黑体"/>
          <w:sz w:val="32"/>
          <w:szCs w:val="32"/>
        </w:rPr>
      </w:pPr>
      <w:r>
        <w:rPr>
          <w:rFonts w:hint="eastAsia" w:ascii="黑体" w:hAnsi="黑体" w:eastAsia="黑体"/>
          <w:sz w:val="32"/>
          <w:szCs w:val="32"/>
        </w:rPr>
        <w:t>九</w:t>
      </w:r>
      <w:r>
        <w:rPr>
          <w:rFonts w:hint="cs" w:ascii="黑体" w:hAnsi="黑体" w:eastAsia="黑体"/>
          <w:sz w:val="32"/>
          <w:szCs w:val="32"/>
        </w:rPr>
        <w:t>、服务基层社会治理新格局……</w:t>
      </w:r>
      <w:r>
        <w:rPr>
          <w:rFonts w:ascii="黑体" w:hAnsi="黑体" w:eastAsia="黑体"/>
          <w:sz w:val="32"/>
          <w:szCs w:val="32"/>
        </w:rPr>
        <w:t>……………………</w:t>
      </w:r>
      <w:r>
        <w:rPr>
          <w:rFonts w:hint="cs" w:ascii="黑体" w:hAnsi="黑体" w:eastAsia="黑体"/>
          <w:sz w:val="32"/>
          <w:szCs w:val="32"/>
        </w:rPr>
        <w:t>1</w:t>
      </w:r>
      <w:r>
        <w:rPr>
          <w:rFonts w:ascii="黑体" w:hAnsi="黑体" w:eastAsia="黑体"/>
          <w:sz w:val="32"/>
          <w:szCs w:val="32"/>
        </w:rPr>
        <w:t>8</w:t>
      </w:r>
    </w:p>
    <w:p>
      <w:pPr>
        <w:rPr>
          <w:rFonts w:ascii="仿宋" w:hAnsi="仿宋" w:eastAsia="仿宋"/>
          <w:bCs/>
          <w:sz w:val="32"/>
          <w:szCs w:val="32"/>
        </w:rPr>
      </w:pPr>
      <w:r>
        <w:rPr>
          <w:rFonts w:hint="cs" w:ascii="仿宋" w:hAnsi="仿宋" w:eastAsia="仿宋"/>
          <w:bCs/>
          <w:sz w:val="32"/>
          <w:szCs w:val="32"/>
        </w:rPr>
        <w:t>（</w:t>
      </w:r>
      <w:r>
        <w:rPr>
          <w:rFonts w:hint="eastAsia" w:ascii="仿宋" w:hAnsi="仿宋" w:eastAsia="仿宋"/>
          <w:bCs/>
          <w:sz w:val="32"/>
          <w:szCs w:val="32"/>
        </w:rPr>
        <w:t>十九</w:t>
      </w:r>
      <w:r>
        <w:rPr>
          <w:rFonts w:hint="cs" w:ascii="仿宋" w:hAnsi="仿宋" w:eastAsia="仿宋"/>
          <w:bCs/>
          <w:sz w:val="32"/>
          <w:szCs w:val="32"/>
        </w:rPr>
        <w:t>）构建矛盾纠纷多元化解格局</w:t>
      </w:r>
      <w:bookmarkStart w:id="8" w:name="_Hlk129429275"/>
      <w:r>
        <w:rPr>
          <w:rFonts w:hint="cs" w:ascii="仿宋" w:hAnsi="仿宋" w:eastAsia="仿宋"/>
          <w:bCs/>
          <w:sz w:val="32"/>
          <w:szCs w:val="32"/>
        </w:rPr>
        <w:t>……</w:t>
      </w:r>
      <w:r>
        <w:rPr>
          <w:rFonts w:ascii="仿宋" w:hAnsi="仿宋" w:eastAsia="仿宋"/>
          <w:bCs/>
          <w:sz w:val="32"/>
          <w:szCs w:val="32"/>
        </w:rPr>
        <w:t>………………</w:t>
      </w:r>
      <w:bookmarkEnd w:id="8"/>
      <w:r>
        <w:rPr>
          <w:rFonts w:hint="cs" w:ascii="仿宋" w:hAnsi="仿宋" w:eastAsia="仿宋"/>
          <w:bCs/>
          <w:sz w:val="32"/>
          <w:szCs w:val="32"/>
        </w:rPr>
        <w:t>1</w:t>
      </w:r>
      <w:r>
        <w:rPr>
          <w:rFonts w:ascii="仿宋" w:hAnsi="仿宋" w:eastAsia="仿宋"/>
          <w:bCs/>
          <w:sz w:val="32"/>
          <w:szCs w:val="32"/>
        </w:rPr>
        <w:t>8</w:t>
      </w:r>
    </w:p>
    <w:p>
      <w:pPr>
        <w:rPr>
          <w:rFonts w:ascii="仿宋" w:hAnsi="仿宋" w:eastAsia="仿宋"/>
          <w:bCs/>
          <w:sz w:val="32"/>
          <w:szCs w:val="32"/>
        </w:rPr>
      </w:pPr>
      <w:r>
        <w:rPr>
          <w:rFonts w:hint="cs" w:ascii="仿宋" w:hAnsi="仿宋" w:eastAsia="仿宋"/>
          <w:bCs/>
          <w:sz w:val="32"/>
          <w:szCs w:val="32"/>
        </w:rPr>
        <w:t>（</w:t>
      </w:r>
      <w:r>
        <w:rPr>
          <w:rFonts w:hint="eastAsia" w:ascii="仿宋" w:hAnsi="仿宋" w:eastAsia="仿宋"/>
          <w:bCs/>
          <w:sz w:val="32"/>
          <w:szCs w:val="32"/>
        </w:rPr>
        <w:t>二十</w:t>
      </w:r>
      <w:r>
        <w:rPr>
          <w:rFonts w:hint="cs" w:ascii="仿宋" w:hAnsi="仿宋" w:eastAsia="仿宋"/>
          <w:bCs/>
          <w:sz w:val="32"/>
          <w:szCs w:val="32"/>
        </w:rPr>
        <w:t>）深化城乡基层依法治理…………</w:t>
      </w:r>
      <w:r>
        <w:rPr>
          <w:rFonts w:ascii="仿宋" w:hAnsi="仿宋" w:eastAsia="仿宋"/>
          <w:bCs/>
          <w:sz w:val="32"/>
          <w:szCs w:val="32"/>
        </w:rPr>
        <w:t>………………20</w:t>
      </w:r>
    </w:p>
    <w:p>
      <w:pPr>
        <w:rPr>
          <w:rFonts w:ascii="仿宋" w:hAnsi="仿宋" w:eastAsia="仿宋"/>
          <w:bCs/>
          <w:sz w:val="32"/>
          <w:szCs w:val="32"/>
        </w:rPr>
      </w:pPr>
      <w:r>
        <w:rPr>
          <w:rFonts w:hint="cs" w:ascii="仿宋" w:hAnsi="仿宋" w:eastAsia="仿宋"/>
          <w:bCs/>
          <w:sz w:val="32"/>
          <w:szCs w:val="32"/>
        </w:rPr>
        <w:t>（</w:t>
      </w:r>
      <w:r>
        <w:rPr>
          <w:rFonts w:hint="eastAsia" w:ascii="仿宋" w:hAnsi="仿宋" w:eastAsia="仿宋"/>
          <w:bCs/>
          <w:sz w:val="32"/>
          <w:szCs w:val="32"/>
        </w:rPr>
        <w:t>二十一</w:t>
      </w:r>
      <w:r>
        <w:rPr>
          <w:rFonts w:hint="cs" w:ascii="仿宋" w:hAnsi="仿宋" w:eastAsia="仿宋"/>
          <w:bCs/>
          <w:sz w:val="32"/>
          <w:szCs w:val="32"/>
        </w:rPr>
        <w:t>）强化司法所的基础性作用………</w:t>
      </w:r>
      <w:r>
        <w:rPr>
          <w:rFonts w:ascii="仿宋" w:hAnsi="仿宋" w:eastAsia="仿宋"/>
          <w:bCs/>
          <w:sz w:val="32"/>
          <w:szCs w:val="32"/>
        </w:rPr>
        <w:t>………………2</w:t>
      </w:r>
      <w:r>
        <w:rPr>
          <w:rFonts w:hint="cs" w:ascii="仿宋" w:hAnsi="仿宋" w:eastAsia="仿宋"/>
          <w:bCs/>
          <w:sz w:val="32"/>
          <w:szCs w:val="32"/>
        </w:rPr>
        <w:t>0</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强化规划实施保障………………………………21</w:t>
      </w:r>
    </w:p>
    <w:p>
      <w:pPr>
        <w:rPr>
          <w:rFonts w:ascii="仿宋" w:hAnsi="仿宋" w:eastAsia="仿宋"/>
          <w:sz w:val="32"/>
          <w:szCs w:val="32"/>
        </w:rPr>
      </w:pPr>
      <w:r>
        <w:rPr>
          <w:rFonts w:hint="eastAsia" w:ascii="仿宋" w:hAnsi="仿宋" w:eastAsia="仿宋"/>
          <w:sz w:val="32"/>
          <w:szCs w:val="32"/>
        </w:rPr>
        <w:t>（二十二）</w:t>
      </w:r>
      <w:r>
        <w:rPr>
          <w:rFonts w:ascii="仿宋" w:hAnsi="仿宋" w:eastAsia="仿宋"/>
          <w:sz w:val="32"/>
          <w:szCs w:val="32"/>
        </w:rPr>
        <w:t>加强统筹协调…………………</w:t>
      </w:r>
      <w:r>
        <w:rPr>
          <w:rFonts w:ascii="仿宋" w:hAnsi="仿宋" w:eastAsia="仿宋"/>
          <w:bCs/>
          <w:sz w:val="32"/>
          <w:szCs w:val="32"/>
        </w:rPr>
        <w:t>………………</w:t>
      </w:r>
      <w:r>
        <w:rPr>
          <w:rFonts w:ascii="仿宋" w:hAnsi="仿宋" w:eastAsia="仿宋"/>
          <w:sz w:val="32"/>
          <w:szCs w:val="32"/>
        </w:rPr>
        <w:t>21</w:t>
      </w:r>
    </w:p>
    <w:p>
      <w:pPr>
        <w:rPr>
          <w:rFonts w:ascii="仿宋" w:hAnsi="仿宋" w:eastAsia="仿宋"/>
          <w:sz w:val="32"/>
          <w:szCs w:val="32"/>
        </w:rPr>
      </w:pPr>
      <w:r>
        <w:rPr>
          <w:rFonts w:hint="eastAsia" w:ascii="仿宋" w:hAnsi="仿宋" w:eastAsia="仿宋"/>
          <w:sz w:val="32"/>
          <w:szCs w:val="32"/>
        </w:rPr>
        <w:t>（二十三）</w:t>
      </w:r>
      <w:r>
        <w:rPr>
          <w:rFonts w:ascii="仿宋" w:hAnsi="仿宋" w:eastAsia="仿宋"/>
          <w:sz w:val="32"/>
          <w:szCs w:val="32"/>
        </w:rPr>
        <w:t>加强基础保障…………………</w:t>
      </w:r>
      <w:r>
        <w:rPr>
          <w:rFonts w:ascii="仿宋" w:hAnsi="仿宋" w:eastAsia="仿宋"/>
          <w:bCs/>
          <w:sz w:val="32"/>
          <w:szCs w:val="32"/>
        </w:rPr>
        <w:t>………………</w:t>
      </w:r>
      <w:r>
        <w:rPr>
          <w:rFonts w:ascii="仿宋" w:hAnsi="仿宋" w:eastAsia="仿宋"/>
          <w:sz w:val="32"/>
          <w:szCs w:val="32"/>
        </w:rPr>
        <w:t>22</w:t>
      </w:r>
    </w:p>
    <w:p>
      <w:pPr>
        <w:rPr>
          <w:rFonts w:ascii="仿宋" w:hAnsi="仿宋" w:eastAsia="仿宋"/>
          <w:sz w:val="32"/>
          <w:szCs w:val="32"/>
        </w:rPr>
      </w:pPr>
      <w:r>
        <w:rPr>
          <w:rFonts w:hint="eastAsia" w:ascii="仿宋" w:hAnsi="仿宋" w:eastAsia="仿宋"/>
          <w:sz w:val="32"/>
          <w:szCs w:val="32"/>
        </w:rPr>
        <w:t>（二十四）</w:t>
      </w:r>
      <w:r>
        <w:rPr>
          <w:rFonts w:ascii="仿宋" w:hAnsi="仿宋" w:eastAsia="仿宋"/>
          <w:sz w:val="32"/>
          <w:szCs w:val="32"/>
        </w:rPr>
        <w:t>加强队伍建设…………………</w:t>
      </w:r>
      <w:r>
        <w:rPr>
          <w:rFonts w:ascii="仿宋" w:hAnsi="仿宋" w:eastAsia="仿宋"/>
          <w:bCs/>
          <w:sz w:val="32"/>
          <w:szCs w:val="32"/>
        </w:rPr>
        <w:t>………………</w:t>
      </w:r>
      <w:r>
        <w:rPr>
          <w:rFonts w:ascii="仿宋" w:hAnsi="仿宋" w:eastAsia="仿宋"/>
          <w:sz w:val="32"/>
          <w:szCs w:val="32"/>
        </w:rPr>
        <w:t>23</w:t>
      </w:r>
    </w:p>
    <w:p>
      <w:pPr>
        <w:rPr>
          <w:rFonts w:ascii="仿宋" w:hAnsi="仿宋" w:eastAsia="仿宋"/>
          <w:sz w:val="32"/>
          <w:szCs w:val="32"/>
        </w:rPr>
      </w:pPr>
      <w:r>
        <w:rPr>
          <w:rFonts w:hint="eastAsia" w:ascii="仿宋" w:hAnsi="仿宋" w:eastAsia="仿宋"/>
          <w:sz w:val="32"/>
          <w:szCs w:val="32"/>
        </w:rPr>
        <w:t>（二十五）</w:t>
      </w:r>
      <w:r>
        <w:rPr>
          <w:rFonts w:ascii="仿宋" w:hAnsi="仿宋" w:eastAsia="仿宋"/>
          <w:sz w:val="32"/>
          <w:szCs w:val="32"/>
        </w:rPr>
        <w:t>加强督查考核…………………</w:t>
      </w:r>
      <w:r>
        <w:rPr>
          <w:rFonts w:ascii="仿宋" w:hAnsi="仿宋" w:eastAsia="仿宋"/>
          <w:bCs/>
          <w:sz w:val="32"/>
          <w:szCs w:val="32"/>
        </w:rPr>
        <w:t>………………</w:t>
      </w:r>
      <w:r>
        <w:rPr>
          <w:rFonts w:ascii="仿宋" w:hAnsi="仿宋" w:eastAsia="仿宋"/>
          <w:sz w:val="32"/>
          <w:szCs w:val="32"/>
        </w:rPr>
        <w:t>23</w:t>
      </w:r>
    </w:p>
    <w:p>
      <w:pPr>
        <w:jc w:val="left"/>
        <w:rPr>
          <w:rFonts w:ascii="黑体" w:hAnsi="黑体" w:eastAsia="黑体"/>
          <w:sz w:val="32"/>
          <w:szCs w:val="32"/>
        </w:rPr>
      </w:pPr>
      <w:r>
        <w:rPr>
          <w:rFonts w:hint="eastAsia" w:ascii="黑体" w:hAnsi="黑体" w:eastAsia="黑体"/>
          <w:sz w:val="32"/>
          <w:szCs w:val="32"/>
        </w:rPr>
        <w:t>附件：松江区</w:t>
      </w:r>
      <w:r>
        <w:rPr>
          <w:rFonts w:ascii="黑体" w:hAnsi="黑体" w:eastAsia="黑体"/>
          <w:sz w:val="32"/>
          <w:szCs w:val="32"/>
        </w:rPr>
        <w:t>公共法律服务体系建设主要发展指标</w:t>
      </w:r>
    </w:p>
    <w:p>
      <w:pPr>
        <w:widowControl/>
        <w:jc w:val="left"/>
        <w:rPr>
          <w:rFonts w:ascii="仿宋" w:hAnsi="仿宋" w:eastAsia="仿宋"/>
          <w:sz w:val="32"/>
          <w:szCs w:val="32"/>
        </w:rPr>
      </w:pPr>
      <w:r>
        <w:rPr>
          <w:rFonts w:ascii="仿宋" w:hAnsi="仿宋" w:eastAsia="仿宋"/>
          <w:sz w:val="32"/>
          <w:szCs w:val="32"/>
        </w:rPr>
        <w:br w:type="page"/>
      </w:r>
    </w:p>
    <w:p>
      <w:pPr>
        <w:jc w:val="center"/>
        <w:rPr>
          <w:rFonts w:ascii="黑体" w:hAnsi="黑体" w:eastAsia="黑体"/>
          <w:sz w:val="32"/>
          <w:szCs w:val="32"/>
        </w:rPr>
      </w:pPr>
    </w:p>
    <w:p>
      <w:pPr>
        <w:jc w:val="center"/>
        <w:rPr>
          <w:rFonts w:ascii="黑体" w:hAnsi="黑体" w:eastAsia="黑体"/>
          <w:sz w:val="44"/>
          <w:szCs w:val="44"/>
        </w:rPr>
      </w:pPr>
      <w:r>
        <w:rPr>
          <w:rFonts w:hint="eastAsia" w:ascii="黑体" w:hAnsi="黑体" w:eastAsia="黑体"/>
          <w:sz w:val="44"/>
          <w:szCs w:val="44"/>
        </w:rPr>
        <w:t>松江区公共法律服务体系建设三年规划</w:t>
      </w:r>
    </w:p>
    <w:p>
      <w:pPr>
        <w:jc w:val="center"/>
        <w:rPr>
          <w:rFonts w:ascii="黑体" w:hAnsi="黑体" w:eastAsia="黑体"/>
          <w:sz w:val="44"/>
          <w:szCs w:val="44"/>
        </w:rPr>
      </w:pPr>
      <w:r>
        <w:rPr>
          <w:rFonts w:hint="eastAsia" w:ascii="黑体" w:hAnsi="黑体" w:eastAsia="黑体"/>
          <w:sz w:val="44"/>
          <w:szCs w:val="44"/>
        </w:rPr>
        <w:t>（</w:t>
      </w:r>
      <w:r>
        <w:rPr>
          <w:rFonts w:ascii="黑体" w:hAnsi="黑体" w:eastAsia="黑体"/>
          <w:sz w:val="44"/>
          <w:szCs w:val="44"/>
        </w:rPr>
        <w:t>2023-2025）</w:t>
      </w:r>
    </w:p>
    <w:p>
      <w:pPr>
        <w:rPr>
          <w:sz w:val="32"/>
          <w:szCs w:val="32"/>
        </w:rPr>
      </w:pPr>
    </w:p>
    <w:p>
      <w:pPr>
        <w:ind w:firstLine="640" w:firstLineChars="200"/>
        <w:rPr>
          <w:rFonts w:ascii="仿宋" w:hAnsi="仿宋" w:eastAsia="仿宋"/>
          <w:sz w:val="32"/>
          <w:szCs w:val="32"/>
        </w:rPr>
      </w:pPr>
      <w:bookmarkStart w:id="9" w:name="_Hlk123401829"/>
      <w:bookmarkEnd w:id="9"/>
      <w:r>
        <w:rPr>
          <w:rFonts w:hint="eastAsia" w:ascii="仿宋" w:hAnsi="仿宋" w:eastAsia="仿宋"/>
          <w:sz w:val="32"/>
          <w:szCs w:val="32"/>
        </w:rPr>
        <w:t>公共法律服务是政府公共职能的重要组成部分，是保障和改善民生的重要举措，是全面依法治国的基础性、服务性和保障性工作。为加快推进松江区公共法律服务体系建设，全面提升公共法律服务能力和水平，更好满足全区190余万人民群众日益增长的美好生活需要，更好服务保障</w:t>
      </w:r>
      <w:r>
        <w:rPr>
          <w:rFonts w:ascii="仿宋" w:hAnsi="仿宋" w:eastAsia="仿宋"/>
          <w:sz w:val="32"/>
          <w:szCs w:val="32"/>
        </w:rPr>
        <w:t>长三角G60科创走廊国家重大战略任务</w:t>
      </w:r>
      <w:r>
        <w:rPr>
          <w:rFonts w:hint="eastAsia" w:ascii="仿宋" w:hAnsi="仿宋" w:eastAsia="仿宋"/>
          <w:sz w:val="32"/>
          <w:szCs w:val="32"/>
        </w:rPr>
        <w:t>实施</w:t>
      </w:r>
      <w:r>
        <w:rPr>
          <w:rFonts w:ascii="仿宋" w:hAnsi="仿宋" w:eastAsia="仿宋"/>
          <w:sz w:val="32"/>
          <w:szCs w:val="32"/>
        </w:rPr>
        <w:t>，</w:t>
      </w:r>
      <w:r>
        <w:rPr>
          <w:rFonts w:hint="eastAsia" w:ascii="仿宋" w:hAnsi="仿宋" w:eastAsia="仿宋"/>
          <w:sz w:val="32"/>
          <w:szCs w:val="32"/>
        </w:rPr>
        <w:t>更好</w:t>
      </w:r>
      <w:r>
        <w:rPr>
          <w:rFonts w:ascii="仿宋" w:hAnsi="仿宋" w:eastAsia="仿宋"/>
          <w:sz w:val="32"/>
          <w:szCs w:val="32"/>
        </w:rPr>
        <w:t>开创“科创、人文、生态”现代化新松江建设新局面</w:t>
      </w:r>
      <w:r>
        <w:rPr>
          <w:rFonts w:hint="eastAsia" w:ascii="仿宋" w:hAnsi="仿宋" w:eastAsia="仿宋"/>
          <w:sz w:val="32"/>
          <w:szCs w:val="32"/>
        </w:rPr>
        <w:t>，依据中共中央办公厅、国务院办公厅《关于加快推进公共法律服务体系建设的意见》和市委办公厅、市政府办公厅《加快推进公共法律服务体系建设的实施意见》以及《上海市公共法律服务办法》《上海司法行政“十四五”时期发展规划纲要》等文件精神，结合本区实际，制定本规划。</w:t>
      </w:r>
    </w:p>
    <w:p>
      <w:pPr>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规划背景</w:t>
      </w:r>
    </w:p>
    <w:p>
      <w:pPr>
        <w:ind w:firstLine="643" w:firstLineChars="200"/>
        <w:rPr>
          <w:rFonts w:ascii="楷体" w:hAnsi="楷体" w:eastAsia="楷体"/>
          <w:b/>
          <w:sz w:val="32"/>
          <w:szCs w:val="32"/>
        </w:rPr>
      </w:pPr>
      <w:r>
        <w:rPr>
          <w:rFonts w:hint="eastAsia" w:ascii="楷体" w:hAnsi="楷体" w:eastAsia="楷体"/>
          <w:b/>
          <w:sz w:val="32"/>
          <w:szCs w:val="32"/>
        </w:rPr>
        <w:t>（一）</w:t>
      </w:r>
      <w:r>
        <w:rPr>
          <w:rFonts w:ascii="楷体" w:hAnsi="楷体" w:eastAsia="楷体"/>
          <w:b/>
          <w:sz w:val="32"/>
          <w:szCs w:val="32"/>
        </w:rPr>
        <w:t>发展基础</w:t>
      </w:r>
    </w:p>
    <w:p>
      <w:pPr>
        <w:ind w:firstLine="640" w:firstLineChars="200"/>
        <w:rPr>
          <w:rFonts w:ascii="仿宋" w:hAnsi="仿宋" w:eastAsia="仿宋"/>
          <w:sz w:val="32"/>
          <w:szCs w:val="32"/>
        </w:rPr>
      </w:pPr>
      <w:r>
        <w:rPr>
          <w:rFonts w:hint="eastAsia" w:ascii="仿宋" w:hAnsi="仿宋" w:eastAsia="仿宋"/>
          <w:sz w:val="32"/>
          <w:szCs w:val="32"/>
        </w:rPr>
        <w:t>近年来，松江区高度重视新形势下法治建设新要求及人民群众新期待，基本建成以实体、热线、网络“三大平台”为载体的公共法律服务体系，形成由</w:t>
      </w:r>
      <w:r>
        <w:rPr>
          <w:rFonts w:ascii="仿宋" w:hAnsi="仿宋" w:eastAsia="仿宋"/>
          <w:sz w:val="32"/>
          <w:szCs w:val="32"/>
        </w:rPr>
        <w:t>1</w:t>
      </w:r>
      <w:r>
        <w:rPr>
          <w:rFonts w:hint="eastAsia" w:ascii="仿宋" w:hAnsi="仿宋" w:eastAsia="仿宋"/>
          <w:sz w:val="32"/>
          <w:szCs w:val="32"/>
        </w:rPr>
        <w:t>个区公共法律服务中心、18个街镇公共法律服务工作站、3</w:t>
      </w:r>
      <w:r>
        <w:rPr>
          <w:rFonts w:hint="eastAsia" w:ascii="仿宋" w:hAnsi="仿宋" w:eastAsia="仿宋"/>
          <w:sz w:val="32"/>
          <w:szCs w:val="32"/>
          <w:lang w:val="en-US" w:eastAsia="zh-CN"/>
        </w:rPr>
        <w:t>61</w:t>
      </w:r>
      <w:r>
        <w:rPr>
          <w:rFonts w:hint="eastAsia" w:ascii="仿宋" w:hAnsi="仿宋" w:eastAsia="仿宋"/>
          <w:sz w:val="32"/>
          <w:szCs w:val="32"/>
        </w:rPr>
        <w:t>个居村公共法律服务工作室组成的公共法律服务框架</w:t>
      </w:r>
      <w:r>
        <w:rPr>
          <w:rFonts w:ascii="仿宋" w:hAnsi="仿宋" w:eastAsia="仿宋"/>
          <w:sz w:val="32"/>
          <w:szCs w:val="32"/>
        </w:rPr>
        <w:t>，</w:t>
      </w:r>
      <w:r>
        <w:rPr>
          <w:rFonts w:hint="eastAsia" w:ascii="仿宋" w:hAnsi="仿宋" w:eastAsia="仿宋"/>
          <w:sz w:val="32"/>
          <w:szCs w:val="32"/>
        </w:rPr>
        <w:t>为服务保障民生、促进社会和谐、维护社会稳定等发挥了积极作用。</w:t>
      </w:r>
    </w:p>
    <w:p>
      <w:pPr>
        <w:ind w:firstLine="643" w:firstLineChars="200"/>
        <w:rPr>
          <w:rFonts w:ascii="仿宋" w:hAnsi="仿宋" w:eastAsia="仿宋"/>
          <w:sz w:val="32"/>
          <w:szCs w:val="32"/>
        </w:rPr>
      </w:pPr>
      <w:r>
        <w:rPr>
          <w:rFonts w:hint="eastAsia" w:ascii="仿宋" w:hAnsi="仿宋" w:eastAsia="仿宋"/>
          <w:b/>
          <w:bCs/>
          <w:sz w:val="32"/>
          <w:szCs w:val="32"/>
        </w:rPr>
        <w:t>公共法律服务基础不断夯实。</w:t>
      </w:r>
      <w:r>
        <w:rPr>
          <w:rFonts w:hint="eastAsia" w:ascii="仿宋" w:hAnsi="仿宋" w:eastAsia="仿宋"/>
          <w:sz w:val="32"/>
          <w:szCs w:val="32"/>
        </w:rPr>
        <w:t>持续加强基础设施建设，推进实体平台、服务窗口硬件设施规范化、智能化。建立公共法律服务经费保障标准动态调整机制，开展公共法律服务工作站（室）监督检查，深化第三方公众满意度测评，公共法律服务底板更加牢固。</w:t>
      </w:r>
    </w:p>
    <w:p>
      <w:pPr>
        <w:ind w:firstLine="643" w:firstLineChars="200"/>
        <w:rPr>
          <w:rFonts w:ascii="仿宋" w:hAnsi="仿宋" w:eastAsia="仿宋"/>
          <w:sz w:val="32"/>
          <w:szCs w:val="32"/>
        </w:rPr>
      </w:pPr>
      <w:r>
        <w:rPr>
          <w:rFonts w:hint="eastAsia" w:ascii="仿宋" w:hAnsi="仿宋" w:eastAsia="仿宋"/>
          <w:b/>
          <w:bCs/>
          <w:sz w:val="32"/>
          <w:szCs w:val="32"/>
        </w:rPr>
        <w:t>居村法律顾问助力基层自治。</w:t>
      </w:r>
      <w:r>
        <w:rPr>
          <w:rFonts w:hint="eastAsia" w:ascii="仿宋" w:hAnsi="仿宋" w:eastAsia="仿宋"/>
          <w:sz w:val="32"/>
          <w:szCs w:val="32"/>
        </w:rPr>
        <w:t>实现一居村一法律顾问全覆盖，为居村民提供“家门口”即需即享法律服务。法律顾问开展居村提供重大事务法律风险评估、复杂疑难矛盾纠纷化解、法治宣传讲座、指导依法规范社区治理等法律服务，促进居村组织自觉运用法治思维和法治方式开展自治管理工作。</w:t>
      </w:r>
    </w:p>
    <w:p>
      <w:pPr>
        <w:ind w:firstLine="643" w:firstLineChars="200"/>
        <w:rPr>
          <w:rFonts w:ascii="仿宋" w:hAnsi="仿宋" w:eastAsia="仿宋"/>
          <w:sz w:val="32"/>
          <w:szCs w:val="32"/>
        </w:rPr>
      </w:pPr>
      <w:r>
        <w:rPr>
          <w:rFonts w:hint="eastAsia" w:ascii="仿宋" w:hAnsi="仿宋" w:eastAsia="仿宋"/>
          <w:b/>
          <w:bCs/>
          <w:sz w:val="32"/>
          <w:szCs w:val="32"/>
        </w:rPr>
        <w:t>人民调解职能作用积极发挥。</w:t>
      </w:r>
      <w:r>
        <w:rPr>
          <w:rFonts w:hint="eastAsia" w:ascii="仿宋" w:hAnsi="仿宋" w:eastAsia="仿宋"/>
          <w:sz w:val="32"/>
          <w:szCs w:val="32"/>
        </w:rPr>
        <w:t>相继</w:t>
      </w:r>
      <w:r>
        <w:rPr>
          <w:rFonts w:hint="eastAsia" w:ascii="仿宋" w:hAnsi="仿宋" w:eastAsia="仿宋"/>
          <w:sz w:val="32"/>
          <w:szCs w:val="32"/>
          <w:lang w:eastAsia="zh-CN"/>
        </w:rPr>
        <w:t>涌现</w:t>
      </w:r>
      <w:r>
        <w:rPr>
          <w:rFonts w:hint="eastAsia" w:ascii="仿宋" w:hAnsi="仿宋" w:eastAsia="仿宋"/>
          <w:sz w:val="32"/>
          <w:szCs w:val="32"/>
        </w:rPr>
        <w:t>一批品牌特色调解工作室，受到群众普遍欢迎和认可。成立驻市场监管所人民调解工作室、消费纠纷调解联络站，人民调解牵手行政调解，关口前移到消费维权联络点，合力化解消费纠纷领域矛盾纠纷。</w:t>
      </w:r>
    </w:p>
    <w:p>
      <w:pPr>
        <w:ind w:firstLine="643" w:firstLineChars="200"/>
        <w:rPr>
          <w:rFonts w:ascii="仿宋" w:hAnsi="仿宋" w:eastAsia="仿宋"/>
          <w:sz w:val="32"/>
          <w:szCs w:val="32"/>
        </w:rPr>
      </w:pPr>
      <w:r>
        <w:rPr>
          <w:rFonts w:hint="eastAsia" w:ascii="仿宋" w:hAnsi="仿宋" w:eastAsia="仿宋"/>
          <w:b/>
          <w:bCs/>
          <w:sz w:val="32"/>
          <w:szCs w:val="32"/>
        </w:rPr>
        <w:t>社会主义法治文化蓬勃发展。</w:t>
      </w:r>
      <w:r>
        <w:rPr>
          <w:rFonts w:hint="eastAsia" w:ascii="仿宋" w:hAnsi="仿宋" w:eastAsia="仿宋"/>
          <w:sz w:val="32"/>
          <w:szCs w:val="32"/>
        </w:rPr>
        <w:t>在泖港镇黄桥村、大学城文汇路等地打造法治文化阵地，扩大法治文化阵地覆盖面。区方塔法治园、区青少年法治教育基地、区公证文化馆、区民防科普馆等获评市级法治文化品牌阵地。“小城杯”公益之星创意诉讼大赛、上海法治楹联作品征评活动、法治松江公益广告大赛被评为市级法治文化品牌活动。</w:t>
      </w:r>
    </w:p>
    <w:p>
      <w:pPr>
        <w:ind w:firstLine="643" w:firstLineChars="200"/>
        <w:rPr>
          <w:rFonts w:ascii="仿宋" w:hAnsi="仿宋" w:eastAsia="仿宋"/>
          <w:b/>
          <w:bCs/>
          <w:sz w:val="32"/>
          <w:szCs w:val="32"/>
        </w:rPr>
      </w:pPr>
      <w:r>
        <w:rPr>
          <w:rFonts w:hint="eastAsia" w:ascii="仿宋" w:hAnsi="仿宋" w:eastAsia="仿宋"/>
          <w:b/>
          <w:bCs/>
          <w:sz w:val="32"/>
          <w:szCs w:val="32"/>
        </w:rPr>
        <w:t>法律服务护航经济高质量发展。</w:t>
      </w:r>
      <w:r>
        <w:rPr>
          <w:rFonts w:hint="eastAsia" w:ascii="仿宋" w:hAnsi="仿宋" w:eastAsia="仿宋"/>
          <w:sz w:val="32"/>
          <w:szCs w:val="32"/>
          <w:lang w:val="en"/>
        </w:rPr>
        <w:t>加强</w:t>
      </w:r>
      <w:r>
        <w:rPr>
          <w:rFonts w:ascii="仿宋" w:hAnsi="仿宋" w:eastAsia="仿宋"/>
          <w:sz w:val="32"/>
          <w:szCs w:val="32"/>
          <w:lang w:val="en"/>
        </w:rPr>
        <w:t>党建引领，地校共建，与华东政法大学等法学院校合作</w:t>
      </w:r>
      <w:r>
        <w:rPr>
          <w:rFonts w:hint="eastAsia" w:ascii="仿宋" w:hAnsi="仿宋" w:eastAsia="仿宋"/>
          <w:sz w:val="32"/>
          <w:szCs w:val="32"/>
          <w:lang w:val="en"/>
        </w:rPr>
        <w:t>，</w:t>
      </w:r>
      <w:r>
        <w:rPr>
          <w:rFonts w:ascii="仿宋" w:hAnsi="仿宋" w:eastAsia="仿宋"/>
          <w:sz w:val="32"/>
          <w:szCs w:val="32"/>
          <w:lang w:val="en"/>
        </w:rPr>
        <w:t>以区公共法律服务中心为基础，打造长三角G60科创走廊公共法律服务中心</w:t>
      </w:r>
      <w:r>
        <w:rPr>
          <w:rFonts w:hint="eastAsia" w:ascii="仿宋" w:hAnsi="仿宋" w:eastAsia="仿宋"/>
          <w:sz w:val="32"/>
          <w:szCs w:val="32"/>
          <w:lang w:val="en"/>
        </w:rPr>
        <w:t>，</w:t>
      </w:r>
      <w:r>
        <w:rPr>
          <w:rFonts w:ascii="仿宋" w:hAnsi="仿宋" w:eastAsia="仿宋"/>
          <w:sz w:val="32"/>
          <w:szCs w:val="32"/>
          <w:lang w:val="en"/>
        </w:rPr>
        <w:t>推动公共法律服务向“跨区域”延伸。聚焦长三角G60科创企业法律服务需求，引入智库专家、律师、公证、仲裁、商事调解等法律服务。</w:t>
      </w:r>
    </w:p>
    <w:p>
      <w:pPr>
        <w:ind w:firstLine="643" w:firstLineChars="200"/>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面临形势</w:t>
      </w:r>
    </w:p>
    <w:p>
      <w:pPr>
        <w:ind w:firstLine="640" w:firstLineChars="200"/>
        <w:rPr>
          <w:rFonts w:ascii="仿宋" w:hAnsi="仿宋" w:eastAsia="仿宋"/>
          <w:sz w:val="32"/>
        </w:rPr>
      </w:pPr>
      <w:r>
        <w:rPr>
          <w:rFonts w:ascii="仿宋" w:hAnsi="仿宋" w:eastAsia="仿宋"/>
          <w:sz w:val="32"/>
          <w:szCs w:val="32"/>
        </w:rPr>
        <w:t>习近平总书记高度重视公共法律服务体系建设，作出一系列重要讲话、重要指示和重要批示。2019年1月16日，习近平总书记在中央政法工作会议上对公共法律服务体系建设作出全面部署，提出“</w:t>
      </w:r>
      <w:r>
        <w:rPr>
          <w:rFonts w:hint="eastAsia" w:ascii="仿宋" w:hAnsi="仿宋" w:eastAsia="仿宋"/>
          <w:sz w:val="32"/>
          <w:szCs w:val="32"/>
        </w:rPr>
        <w:t>要深化公共法律服务体系建设，加快整合律师、公证、司法鉴定、仲裁、司法所、人民调解等法律服务资源，尽快建成覆盖全业务、全时空的法律服务网络” 。2</w:t>
      </w:r>
      <w:r>
        <w:rPr>
          <w:rFonts w:ascii="仿宋" w:hAnsi="仿宋" w:eastAsia="仿宋"/>
          <w:sz w:val="32"/>
          <w:szCs w:val="32"/>
        </w:rPr>
        <w:t>022</w:t>
      </w:r>
      <w:r>
        <w:rPr>
          <w:rFonts w:hint="eastAsia" w:ascii="仿宋" w:hAnsi="仿宋" w:eastAsia="仿宋"/>
          <w:sz w:val="32"/>
          <w:szCs w:val="32"/>
        </w:rPr>
        <w:t>年1</w:t>
      </w:r>
      <w:r>
        <w:rPr>
          <w:rFonts w:ascii="仿宋" w:hAnsi="仿宋" w:eastAsia="仿宋"/>
          <w:sz w:val="32"/>
          <w:szCs w:val="32"/>
        </w:rPr>
        <w:t>0</w:t>
      </w:r>
      <w:r>
        <w:rPr>
          <w:rFonts w:hint="eastAsia" w:ascii="仿宋" w:hAnsi="仿宋" w:eastAsia="仿宋"/>
          <w:sz w:val="32"/>
          <w:szCs w:val="32"/>
        </w:rPr>
        <w:t>月1</w:t>
      </w:r>
      <w:r>
        <w:rPr>
          <w:rFonts w:ascii="仿宋" w:hAnsi="仿宋" w:eastAsia="仿宋"/>
          <w:sz w:val="32"/>
          <w:szCs w:val="32"/>
        </w:rPr>
        <w:t>6</w:t>
      </w:r>
      <w:r>
        <w:rPr>
          <w:rFonts w:hint="eastAsia" w:ascii="仿宋" w:hAnsi="仿宋" w:eastAsia="仿宋"/>
          <w:sz w:val="32"/>
          <w:szCs w:val="32"/>
        </w:rPr>
        <w:t>日，习近平总书记在党的二十大报告中进一步指出，要“健全基本公共服务体系，提高公共服务水平，增强均衡性和可及性，扎实推进共同富裕。”</w:t>
      </w:r>
      <w:r>
        <w:rPr>
          <w:rFonts w:hint="eastAsia" w:ascii="仿宋" w:hAnsi="仿宋" w:eastAsia="仿宋"/>
          <w:sz w:val="32"/>
        </w:rPr>
        <w:t>习近平总书记重要讲话对加快推进公共法律服务体系建设指明了方向，提供了根本遵循。松江</w:t>
      </w:r>
      <w:r>
        <w:rPr>
          <w:rFonts w:hint="eastAsia" w:ascii="仿宋" w:hAnsi="仿宋" w:eastAsia="仿宋"/>
          <w:sz w:val="32"/>
          <w:szCs w:val="32"/>
        </w:rPr>
        <w:t>要深入领会贯彻总书记重要讲话精神，主动把公共法律服务体系建设放到共同富裕的奋斗目标中推进，放到中国式现代化的征途中去建设。</w:t>
      </w:r>
    </w:p>
    <w:p>
      <w:pPr>
        <w:ind w:firstLine="640" w:firstLineChars="200"/>
        <w:rPr>
          <w:rFonts w:ascii="仿宋" w:hAnsi="仿宋" w:eastAsia="仿宋"/>
          <w:sz w:val="32"/>
          <w:szCs w:val="32"/>
          <w:lang w:val="en"/>
        </w:rPr>
      </w:pPr>
      <w:r>
        <w:rPr>
          <w:rFonts w:hint="eastAsia" w:ascii="仿宋" w:hAnsi="仿宋" w:eastAsia="仿宋"/>
          <w:sz w:val="32"/>
          <w:szCs w:val="32"/>
          <w:lang w:val="en"/>
        </w:rPr>
        <w:t>在市委和区委的正确领导下，松江公共法律服务体系建设虽然取得了显著成效，</w:t>
      </w:r>
      <w:bookmarkStart w:id="16" w:name="_GoBack"/>
      <w:bookmarkEnd w:id="16"/>
      <w:r>
        <w:rPr>
          <w:rFonts w:hint="eastAsia" w:ascii="仿宋" w:hAnsi="仿宋" w:eastAsia="仿宋"/>
          <w:sz w:val="32"/>
          <w:szCs w:val="32"/>
          <w:lang w:val="en"/>
        </w:rPr>
        <w:t>但仍然存在一些问题和挑战。比如，公共法律服务体系建设仍然面临着建设速度需加快、质量水平需提高、品牌意识需强化等问题。同时，随着国内外</w:t>
      </w:r>
      <w:r>
        <w:rPr>
          <w:rFonts w:hint="eastAsia" w:ascii="仿宋" w:hAnsi="仿宋" w:eastAsia="仿宋"/>
          <w:sz w:val="32"/>
          <w:szCs w:val="32"/>
        </w:rPr>
        <w:t>环境日趋复杂，疫情影响广泛深远，发展的不稳定性、不确定性越发凸显，松江面临的改革发展任务更加艰巨繁重，社会治理风险挑战更加难防难控，而运用法治思维和法治方式应对风险挑战，不断满足人民群众日益增长的法治需求，对充分发挥公共法律服务职能作用提出了新的更高要求。</w:t>
      </w:r>
    </w:p>
    <w:p>
      <w:pPr>
        <w:ind w:firstLine="640" w:firstLineChars="200"/>
        <w:rPr>
          <w:rFonts w:ascii="仿宋" w:hAnsi="仿宋" w:eastAsia="仿宋"/>
          <w:sz w:val="32"/>
          <w:szCs w:val="32"/>
        </w:rPr>
      </w:pPr>
      <w:r>
        <w:rPr>
          <w:rFonts w:hint="eastAsia" w:ascii="仿宋" w:hAnsi="仿宋" w:eastAsia="仿宋"/>
          <w:sz w:val="32"/>
          <w:szCs w:val="32"/>
        </w:rPr>
        <w:t>面临新机遇新挑战，松江区要准确理解新形势新任务新要求，客观把握发展规律，始终保持战略定力，努力推动工作创新，以高质量的公共法律服务</w:t>
      </w:r>
      <w:r>
        <w:rPr>
          <w:rFonts w:ascii="仿宋" w:hAnsi="仿宋" w:eastAsia="仿宋"/>
          <w:sz w:val="32"/>
          <w:szCs w:val="32"/>
        </w:rPr>
        <w:t>谱写“科创、人文、生态”现代化新松江建设的新篇章，</w:t>
      </w:r>
      <w:r>
        <w:rPr>
          <w:rFonts w:hint="eastAsia" w:ascii="仿宋" w:hAnsi="仿宋" w:eastAsia="仿宋"/>
          <w:sz w:val="32"/>
          <w:szCs w:val="32"/>
        </w:rPr>
        <w:t>为助力实现共同富裕和中国式现代化做出新贡献。</w:t>
      </w:r>
    </w:p>
    <w:p>
      <w:pPr>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、总体要求</w:t>
      </w:r>
    </w:p>
    <w:p>
      <w:pPr>
        <w:ind w:firstLine="643" w:firstLineChars="200"/>
        <w:rPr>
          <w:rFonts w:ascii="楷体" w:hAnsi="楷体" w:eastAsia="楷体"/>
          <w:b/>
          <w:sz w:val="32"/>
          <w:szCs w:val="32"/>
        </w:rPr>
      </w:pPr>
      <w:r>
        <w:rPr>
          <w:rFonts w:hint="eastAsia" w:ascii="楷体" w:hAnsi="楷体" w:eastAsia="楷体"/>
          <w:b/>
          <w:sz w:val="32"/>
          <w:szCs w:val="32"/>
        </w:rPr>
        <w:t>（一）</w:t>
      </w:r>
      <w:r>
        <w:rPr>
          <w:rFonts w:ascii="楷体" w:hAnsi="楷体" w:eastAsia="楷体"/>
          <w:b/>
          <w:sz w:val="32"/>
          <w:szCs w:val="32"/>
        </w:rPr>
        <w:t>指导思想</w:t>
      </w:r>
    </w:p>
    <w:p>
      <w:pPr>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深入学习贯彻习近平法治思想，全面贯彻落实党的二十大精神，增强“四个意识”、坚定“四个自信”、做到“两个维护”、捍卫“两个确立”，坚定不移走中国特色社会主义法治道路，加强党对公共法律服务工作的全面领导，围绕更好满足广大人民群众日益增长的公共法律服务需求，加快建设覆盖城乡、便捷高效、均等普惠、智能精准的现代公共法律服务体系，不断提高公共法律服务供给总量和质量，为保障司法公正、促进社会治理、服务经济高质量发展，建设更高水平法治松江、平安松江，基本建成“科创、人文、生态”的现代化新松江和独立的长三角综合性节点城市提供优质高效法律服务。</w:t>
      </w:r>
    </w:p>
    <w:p>
      <w:pPr>
        <w:ind w:firstLine="643" w:firstLineChars="200"/>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基本原则</w:t>
      </w:r>
    </w:p>
    <w:p>
      <w:pPr>
        <w:ind w:firstLine="643" w:firstLineChars="200"/>
        <w:rPr>
          <w:sz w:val="32"/>
          <w:szCs w:val="32"/>
        </w:rPr>
      </w:pPr>
      <w:r>
        <w:rPr>
          <w:rFonts w:hint="eastAsia" w:ascii="仿宋" w:hAnsi="仿宋" w:eastAsia="仿宋"/>
          <w:b/>
          <w:sz w:val="32"/>
          <w:szCs w:val="32"/>
        </w:rPr>
        <w:t>坚持党的领导。</w:t>
      </w:r>
      <w:r>
        <w:rPr>
          <w:rFonts w:hint="eastAsia" w:ascii="仿宋" w:hAnsi="仿宋" w:eastAsia="仿宋"/>
          <w:sz w:val="32"/>
          <w:szCs w:val="32"/>
        </w:rPr>
        <w:t>坚持和完善党领导公共法律服务工作的体制机制，把党的领导贯穿到公共法律服务体系建设的各方面全过程，为建设现代公共法律服务体系提供根本保证。</w:t>
      </w:r>
    </w:p>
    <w:p>
      <w:pPr>
        <w:ind w:firstLine="643" w:firstLineChars="200"/>
        <w:rPr>
          <w:rFonts w:ascii="仿宋" w:hAnsi="仿宋" w:eastAsia="仿宋"/>
          <w:sz w:val="32"/>
          <w:szCs w:val="32"/>
        </w:rPr>
      </w:pPr>
      <w:r>
        <w:rPr>
          <w:rFonts w:hint="eastAsia" w:ascii="仿宋" w:hAnsi="仿宋" w:eastAsia="仿宋"/>
          <w:b/>
          <w:sz w:val="32"/>
          <w:szCs w:val="32"/>
        </w:rPr>
        <w:t>坚持人民至上。</w:t>
      </w:r>
      <w:r>
        <w:rPr>
          <w:rFonts w:hint="eastAsia" w:ascii="仿宋" w:hAnsi="仿宋" w:eastAsia="仿宋"/>
          <w:sz w:val="32"/>
          <w:szCs w:val="32"/>
        </w:rPr>
        <w:t>始终把维护人民群众合法权益作为出发点和落脚点，通过优质、高效、便捷的法律服务帮助解决人民群众的操心事、烦心事、揪心事，不断增强人民群众的获得感、幸福感、安全感。</w:t>
      </w:r>
    </w:p>
    <w:p>
      <w:pPr>
        <w:ind w:firstLine="643" w:firstLineChars="200"/>
        <w:rPr>
          <w:rFonts w:ascii="仿宋" w:hAnsi="仿宋" w:eastAsia="仿宋"/>
          <w:sz w:val="32"/>
          <w:szCs w:val="32"/>
        </w:rPr>
      </w:pPr>
      <w:r>
        <w:rPr>
          <w:rFonts w:hint="eastAsia" w:ascii="仿宋" w:hAnsi="仿宋" w:eastAsia="仿宋"/>
          <w:b/>
          <w:sz w:val="32"/>
          <w:szCs w:val="32"/>
        </w:rPr>
        <w:t>坚持统筹协调。</w:t>
      </w:r>
      <w:r>
        <w:rPr>
          <w:rFonts w:hint="eastAsia" w:ascii="仿宋" w:hAnsi="仿宋" w:eastAsia="仿宋"/>
          <w:sz w:val="32"/>
          <w:szCs w:val="32"/>
        </w:rPr>
        <w:t>健全党委领导、政府主导、部门协同、社会参与的公共法律服务新格局，加强公共法律服务的整体统筹、协调推进，激发各类社会主体参与公共法律服务的积极性。</w:t>
      </w:r>
    </w:p>
    <w:p>
      <w:pPr>
        <w:ind w:firstLine="643" w:firstLineChars="200"/>
        <w:rPr>
          <w:rFonts w:ascii="仿宋" w:hAnsi="仿宋" w:eastAsia="仿宋"/>
          <w:sz w:val="32"/>
          <w:szCs w:val="32"/>
        </w:rPr>
      </w:pPr>
      <w:r>
        <w:rPr>
          <w:rFonts w:hint="eastAsia" w:ascii="仿宋" w:hAnsi="仿宋" w:eastAsia="仿宋"/>
          <w:b/>
          <w:sz w:val="32"/>
          <w:szCs w:val="32"/>
        </w:rPr>
        <w:t>坚持分类施策。</w:t>
      </w:r>
      <w:r>
        <w:rPr>
          <w:rFonts w:hint="eastAsia" w:ascii="仿宋" w:hAnsi="仿宋" w:eastAsia="仿宋"/>
          <w:sz w:val="32"/>
          <w:szCs w:val="32"/>
        </w:rPr>
        <w:t>立足松江实际，坚持因地制宜、分类推进，实现整体协同，资源共建共享，确保公共法律服务体系建设与经济社会事业协同发展。</w:t>
      </w:r>
    </w:p>
    <w:p>
      <w:pPr>
        <w:ind w:firstLine="643" w:firstLineChars="200"/>
        <w:rPr>
          <w:sz w:val="32"/>
          <w:szCs w:val="32"/>
        </w:rPr>
      </w:pPr>
      <w:r>
        <w:rPr>
          <w:rFonts w:hint="eastAsia" w:ascii="仿宋" w:hAnsi="仿宋" w:eastAsia="仿宋"/>
          <w:b/>
          <w:sz w:val="32"/>
          <w:szCs w:val="32"/>
        </w:rPr>
        <w:t>坚持科技赋能。</w:t>
      </w:r>
      <w:r>
        <w:rPr>
          <w:rFonts w:hint="eastAsia" w:ascii="仿宋" w:hAnsi="仿宋" w:eastAsia="仿宋"/>
          <w:sz w:val="32"/>
          <w:szCs w:val="32"/>
        </w:rPr>
        <w:t>依托人工智能、元宇宙等现代科技手段，推动公共法律服务供给内容和供给模式创新，有效增强总体供给能力，实现公共法律服务体系建设新发展。</w:t>
      </w:r>
    </w:p>
    <w:p>
      <w:pPr>
        <w:ind w:firstLine="643" w:firstLineChars="200"/>
        <w:rPr>
          <w:rFonts w:ascii="楷体" w:hAnsi="楷体" w:eastAsia="楷体"/>
          <w:b/>
          <w:sz w:val="32"/>
          <w:szCs w:val="32"/>
        </w:rPr>
      </w:pPr>
      <w:r>
        <w:rPr>
          <w:rFonts w:hint="eastAsia" w:ascii="楷体" w:hAnsi="楷体" w:eastAsia="楷体"/>
          <w:b/>
          <w:sz w:val="32"/>
          <w:szCs w:val="32"/>
        </w:rPr>
        <w:t>（三）</w:t>
      </w:r>
      <w:r>
        <w:rPr>
          <w:rFonts w:ascii="楷体" w:hAnsi="楷体" w:eastAsia="楷体"/>
          <w:b/>
          <w:sz w:val="32"/>
          <w:szCs w:val="32"/>
        </w:rPr>
        <w:t>主要目标</w:t>
      </w:r>
    </w:p>
    <w:p>
      <w:pPr>
        <w:ind w:firstLine="640" w:firstLineChars="200"/>
        <w:rPr>
          <w:sz w:val="32"/>
          <w:szCs w:val="32"/>
        </w:rPr>
      </w:pPr>
      <w:r>
        <w:rPr>
          <w:rFonts w:hint="eastAsia" w:ascii="仿宋" w:hAnsi="仿宋" w:eastAsia="仿宋"/>
          <w:sz w:val="32"/>
          <w:szCs w:val="32"/>
        </w:rPr>
        <w:t>到</w:t>
      </w:r>
      <w:r>
        <w:rPr>
          <w:rFonts w:ascii="仿宋" w:hAnsi="仿宋" w:eastAsia="仿宋"/>
          <w:sz w:val="32"/>
          <w:szCs w:val="32"/>
        </w:rPr>
        <w:t>2025年，全面建成覆盖城乡、便捷高效、均等普惠、智能精准的现代公共法律服务体系，切实保障服务设施全面覆盖、服务网络互联互通、服务供给持续优化、服务能力全面提升，实现公共法律服务品质引领、资源聚合、成果共享，公共法律服务群众知晓率、首选率、满意率始终保持较高水平，公共法律服务品牌得到社会广泛认同，为</w:t>
      </w:r>
      <w:r>
        <w:rPr>
          <w:rFonts w:hint="eastAsia" w:ascii="仿宋" w:hAnsi="仿宋" w:eastAsia="仿宋"/>
          <w:sz w:val="32"/>
          <w:szCs w:val="32"/>
        </w:rPr>
        <w:t>建设人民满意的“科创、人文、生态”现代化新松江</w:t>
      </w:r>
      <w:r>
        <w:rPr>
          <w:rFonts w:ascii="仿宋" w:hAnsi="仿宋" w:eastAsia="仿宋"/>
          <w:sz w:val="32"/>
          <w:szCs w:val="32"/>
        </w:rPr>
        <w:t>提供有力法治保障和有效公共法律服务。</w:t>
      </w:r>
    </w:p>
    <w:p>
      <w:pPr>
        <w:ind w:firstLine="643" w:firstLineChars="200"/>
        <w:rPr>
          <w:sz w:val="32"/>
        </w:rPr>
      </w:pPr>
      <w:r>
        <w:rPr>
          <w:rFonts w:ascii="仿宋" w:hAnsi="仿宋" w:eastAsia="仿宋"/>
          <w:b/>
          <w:sz w:val="32"/>
        </w:rPr>
        <w:t>——完善覆盖全业务的法律服务网络。</w:t>
      </w:r>
      <w:r>
        <w:rPr>
          <w:rFonts w:ascii="仿宋" w:hAnsi="仿宋" w:eastAsia="仿宋"/>
          <w:sz w:val="32"/>
        </w:rPr>
        <w:t>各类法律服务机构设置布局更加合理，管理规范，有序发展。公共法律服务实体、热线、网络三大平台运行管理更加规范，法律服务均衡发展更加健全，法律服务资源配置更加优化，人民群众获得感更加饱满。  　</w:t>
      </w:r>
    </w:p>
    <w:p>
      <w:pPr>
        <w:ind w:firstLine="643" w:firstLineChars="200"/>
        <w:rPr>
          <w:sz w:val="32"/>
        </w:rPr>
      </w:pPr>
      <w:r>
        <w:rPr>
          <w:rFonts w:ascii="仿宋" w:hAnsi="仿宋" w:eastAsia="仿宋"/>
          <w:b/>
          <w:sz w:val="32"/>
        </w:rPr>
        <w:t>——“八五”普法规划高质量实施完成。</w:t>
      </w:r>
      <w:r>
        <w:rPr>
          <w:rFonts w:ascii="仿宋" w:hAnsi="仿宋" w:eastAsia="仿宋"/>
          <w:sz w:val="32"/>
        </w:rPr>
        <w:t>全面实施“八五”普法规划，在完善松江大普法格局、提升社会治理法治化水平等方面取得新突破。持续提升公民的法治素养，不断增强尊法学法守法用法的实效，形成制度完备、实施精准、评价科学、责任落实的全民普法工作体系。  　　</w:t>
      </w:r>
    </w:p>
    <w:p>
      <w:pPr>
        <w:ind w:firstLine="643" w:firstLineChars="200"/>
        <w:rPr>
          <w:sz w:val="32"/>
        </w:rPr>
      </w:pPr>
      <w:r>
        <w:rPr>
          <w:rFonts w:ascii="仿宋" w:hAnsi="仿宋" w:eastAsia="仿宋"/>
          <w:b/>
          <w:sz w:val="32"/>
        </w:rPr>
        <w:t>——充分发挥律师在公共法律服务中的主力军作用。</w:t>
      </w:r>
      <w:r>
        <w:rPr>
          <w:rFonts w:ascii="仿宋" w:hAnsi="仿宋" w:eastAsia="仿宋"/>
          <w:sz w:val="32"/>
        </w:rPr>
        <w:t xml:space="preserve">律师执业保障机制进一步健全，律师执业管理更加规范，律师队伍建设切实加强，律师行业服务经济社会发展、履行公共法律服务职能的能力显著提升。法律顾问和公职律师、公司律师制度机制不断健全。 </w:t>
      </w:r>
      <w:r>
        <w:rPr>
          <w:sz w:val="32"/>
        </w:rPr>
        <w:t xml:space="preserve"> 　　</w:t>
      </w:r>
    </w:p>
    <w:p>
      <w:pPr>
        <w:ind w:firstLine="643" w:firstLineChars="200"/>
        <w:rPr>
          <w:sz w:val="32"/>
        </w:rPr>
      </w:pPr>
      <w:r>
        <w:rPr>
          <w:rFonts w:ascii="仿宋" w:hAnsi="仿宋" w:eastAsia="仿宋"/>
          <w:b/>
          <w:sz w:val="32"/>
        </w:rPr>
        <w:t>——深入贯彻落实法律援助法。</w:t>
      </w:r>
      <w:r>
        <w:rPr>
          <w:rFonts w:ascii="仿宋" w:hAnsi="仿宋" w:eastAsia="仿宋"/>
          <w:sz w:val="32"/>
        </w:rPr>
        <w:t>法律援助配套制度更加完善，法律援助经济困难告知承诺制得到全面实施，持续加强财政保障。深入推进法律援助标准化、规范化、信息化建设，持续开展“法援惠民生”系列品牌活动，便民惠民措施不断推陈出新。  　　</w:t>
      </w:r>
    </w:p>
    <w:p>
      <w:pPr>
        <w:ind w:firstLine="643" w:firstLineChars="200"/>
        <w:rPr>
          <w:sz w:val="32"/>
        </w:rPr>
      </w:pPr>
      <w:r>
        <w:rPr>
          <w:rFonts w:ascii="仿宋" w:hAnsi="仿宋" w:eastAsia="仿宋"/>
          <w:b/>
          <w:sz w:val="32"/>
        </w:rPr>
        <w:t>——持续提升公证服务质效。</w:t>
      </w:r>
      <w:r>
        <w:rPr>
          <w:rFonts w:ascii="仿宋" w:hAnsi="仿宋" w:eastAsia="仿宋"/>
          <w:sz w:val="32"/>
        </w:rPr>
        <w:t>公证机构布局更趋合理，供给能力持续提升，利企便民举措体系化开展，公证服务便捷性、可及性不断提高。公证行业信息化建设全面推进，部门间信息共享及协同监管机制更加健全。公证员队伍规模稳步扩大。  　　</w:t>
      </w:r>
    </w:p>
    <w:p>
      <w:pPr>
        <w:ind w:firstLine="643" w:firstLineChars="200"/>
        <w:rPr>
          <w:sz w:val="32"/>
        </w:rPr>
      </w:pPr>
      <w:r>
        <w:rPr>
          <w:rFonts w:ascii="仿宋" w:hAnsi="仿宋" w:eastAsia="仿宋"/>
          <w:b/>
          <w:sz w:val="32"/>
        </w:rPr>
        <w:t>——深化构建松江大调解工作格局。</w:t>
      </w:r>
      <w:r>
        <w:rPr>
          <w:rFonts w:ascii="仿宋" w:hAnsi="仿宋" w:eastAsia="仿宋"/>
          <w:sz w:val="32"/>
        </w:rPr>
        <w:t>深入推进人民调解、行政调解、行业性专业性调解、司法调解优势互补、有机衔接、协调联动的大调解工作格局。加强“智慧调解”信息化系统建设，优化完善移动端应用。</w:t>
      </w:r>
      <w:bookmarkStart w:id="10" w:name="_Hlk129448087"/>
    </w:p>
    <w:bookmarkEnd w:id="10"/>
    <w:p>
      <w:pPr>
        <w:ind w:firstLine="640" w:firstLineChars="200"/>
        <w:rPr>
          <w:rFonts w:ascii="黑体" w:hAnsi="黑体" w:eastAsia="黑体"/>
          <w:sz w:val="32"/>
          <w:szCs w:val="32"/>
        </w:rPr>
      </w:pPr>
      <w:r>
        <w:rPr>
          <w:rFonts w:ascii="黑体" w:hAnsi="黑体" w:eastAsia="黑体"/>
          <w:sz w:val="32"/>
          <w:szCs w:val="32"/>
        </w:rPr>
        <w:t>三、坚定公共法律服务体系建设正确方向</w:t>
      </w:r>
    </w:p>
    <w:p>
      <w:pPr>
        <w:ind w:firstLine="643" w:firstLineChars="200"/>
        <w:rPr>
          <w:rFonts w:ascii="仿宋" w:hAnsi="仿宋" w:eastAsia="仿宋"/>
          <w:sz w:val="32"/>
          <w:szCs w:val="32"/>
        </w:rPr>
      </w:pPr>
      <w:r>
        <w:rPr>
          <w:rFonts w:ascii="楷体" w:hAnsi="楷体" w:eastAsia="楷体"/>
          <w:b/>
          <w:sz w:val="32"/>
          <w:szCs w:val="32"/>
        </w:rPr>
        <w:t>（一）坚持正确政治立场。</w:t>
      </w:r>
      <w:r>
        <w:rPr>
          <w:rFonts w:hint="eastAsia" w:ascii="仿宋" w:hAnsi="仿宋" w:eastAsia="仿宋"/>
          <w:sz w:val="32"/>
          <w:szCs w:val="32"/>
        </w:rPr>
        <w:t>区各级</w:t>
      </w:r>
      <w:r>
        <w:rPr>
          <w:rFonts w:ascii="仿宋" w:hAnsi="仿宋" w:eastAsia="仿宋"/>
          <w:sz w:val="32"/>
          <w:szCs w:val="32"/>
        </w:rPr>
        <w:t>司法行政机关、各类法律服务机构的党组织要深刻领悟“两个确立”的决定性意义，增强“四个意识”、坚定“四个自信”、做到“两个维护”，始终在思想上政治上行动上同以习近平同志为核心的党中央保持高度一致。坚持把贯彻落实习近平总书记重要指示精神和党中央、市委、区委的重大决策部署作为最重要的政治纪律和政治规矩，把拥护中国共产党领导、拥护社会主义法治作为法律服务人员从业的基本要求，确保法律服务队伍政治立场坚定不移。</w:t>
      </w:r>
    </w:p>
    <w:p>
      <w:pPr>
        <w:ind w:firstLine="643" w:firstLineChars="200"/>
        <w:rPr>
          <w:rFonts w:ascii="仿宋" w:hAnsi="仿宋" w:eastAsia="仿宋"/>
          <w:sz w:val="32"/>
          <w:szCs w:val="32"/>
        </w:rPr>
      </w:pPr>
      <w:r>
        <w:rPr>
          <w:rFonts w:ascii="楷体" w:hAnsi="楷体" w:eastAsia="楷体"/>
          <w:b/>
          <w:sz w:val="32"/>
          <w:szCs w:val="32"/>
        </w:rPr>
        <w:t>（二）坚持党的政治领导。</w:t>
      </w:r>
      <w:r>
        <w:rPr>
          <w:rFonts w:ascii="仿宋" w:hAnsi="仿宋" w:eastAsia="仿宋"/>
          <w:sz w:val="32"/>
          <w:szCs w:val="32"/>
        </w:rPr>
        <w:t>健全完善区委领导法律服务工作的制度机制，加强重大事项请示报告制度，确保党中央、市委、区委的决策部署在公共法律服务领域得到不折不扣贯彻落实。坚持政治督察和法治督察相结合，行政管理与行业自律管理相结合，加大区委对公共法律服务行业的监管力度，不断规范公共法律服务市场秩序，确保</w:t>
      </w:r>
      <w:r>
        <w:rPr>
          <w:rFonts w:ascii="仿宋" w:hAnsi="仿宋" w:eastAsia="仿宋"/>
          <w:sz w:val="32"/>
        </w:rPr>
        <w:t>党的政治领导在公共法律服务领域见真章、出时效。</w:t>
      </w:r>
    </w:p>
    <w:p>
      <w:pPr>
        <w:ind w:firstLine="643" w:firstLineChars="200"/>
        <w:rPr>
          <w:rFonts w:ascii="仿宋" w:hAnsi="仿宋" w:eastAsia="仿宋"/>
          <w:sz w:val="32"/>
          <w:szCs w:val="32"/>
        </w:rPr>
      </w:pPr>
      <w:r>
        <w:rPr>
          <w:rFonts w:ascii="楷体" w:hAnsi="楷体" w:eastAsia="楷体"/>
          <w:b/>
          <w:sz w:val="32"/>
          <w:szCs w:val="32"/>
        </w:rPr>
        <w:t>（三）坚持行业党建引领。</w:t>
      </w:r>
      <w:r>
        <w:rPr>
          <w:rFonts w:ascii="仿宋" w:hAnsi="仿宋" w:eastAsia="仿宋"/>
          <w:sz w:val="32"/>
          <w:szCs w:val="32"/>
        </w:rPr>
        <w:t>认真贯彻落实新时代党的建设总要求，全面加强松江律师、公证、法律援助、人民调解等行业党的建设，实现党的组织和党的工作有效覆盖。推动法律服务行业基层党组织，遵循行业特点规律，适应发展趋势，创新体制机制，改进工作方式，切实发挥党组织在决策、规范管理、违法违规惩戒中的作用。进一步做好法律服务行业发展党员工作，提高党员发展质量，加强党员政治思想建设和教育服务管理。</w:t>
      </w:r>
    </w:p>
    <w:p>
      <w:pPr>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cs" w:ascii="黑体" w:hAnsi="黑体" w:eastAsia="黑体"/>
          <w:sz w:val="32"/>
          <w:szCs w:val="32"/>
        </w:rPr>
        <w:t>服务国家战略和重大任务</w:t>
      </w:r>
    </w:p>
    <w:p>
      <w:pPr>
        <w:ind w:firstLine="643" w:firstLineChars="200"/>
        <w:rPr>
          <w:rFonts w:ascii="仿宋" w:hAnsi="仿宋" w:eastAsia="仿宋"/>
          <w:sz w:val="32"/>
        </w:rPr>
      </w:pPr>
      <w:r>
        <w:rPr>
          <w:rFonts w:hint="eastAsia" w:ascii="楷体" w:hAnsi="楷体" w:eastAsia="楷体"/>
          <w:b/>
          <w:sz w:val="32"/>
          <w:szCs w:val="32"/>
        </w:rPr>
        <w:t>（四）法治助力长三角G60科创走廊发展。</w:t>
      </w:r>
      <w:r>
        <w:rPr>
          <w:rFonts w:hint="eastAsia" w:ascii="仿宋" w:hAnsi="仿宋" w:eastAsia="仿宋"/>
          <w:sz w:val="32"/>
        </w:rPr>
        <w:t>实施更具竞争力的财政、税收和人才政策，健全便利化、精准化服务机制，形成优质法律服务资源和人才资源的聚集效应，为长三角G60科创走廊发展等国家重大战略提供优质高效的法律服务。推进法律服务机构多元化合作模式， 鼓励法律服务机构与经济园区、科技企业孵化器、众创空间等平台融合发展，为企业和创业者提供市场准入、融资、知识产权保护等各类法律服务，满足市场主体全方位、多层次的法律服务需求。</w:t>
      </w:r>
    </w:p>
    <w:p>
      <w:pPr>
        <w:ind w:firstLine="643" w:firstLineChars="200"/>
        <w:rPr>
          <w:rFonts w:ascii="仿宋" w:hAnsi="仿宋" w:eastAsia="仿宋"/>
          <w:sz w:val="32"/>
        </w:rPr>
      </w:pPr>
      <w:r>
        <w:rPr>
          <w:rFonts w:hint="eastAsia" w:ascii="楷体" w:hAnsi="楷体" w:eastAsia="楷体"/>
          <w:b/>
          <w:sz w:val="32"/>
        </w:rPr>
        <w:t>（五）服务保障各类企业法律服务需求。</w:t>
      </w:r>
      <w:r>
        <w:rPr>
          <w:rFonts w:hint="eastAsia" w:ascii="仿宋" w:hAnsi="仿宋" w:eastAsia="仿宋"/>
          <w:sz w:val="32"/>
        </w:rPr>
        <w:t>深化区属国有企业法律顾问、公司律师制度，推进民营企业普遍设立公司律师的导向，发挥企业法律顾问、公司律师应有作用，助力</w:t>
      </w:r>
      <w:r>
        <w:rPr>
          <w:rFonts w:ascii="仿宋" w:hAnsi="仿宋" w:eastAsia="仿宋"/>
          <w:sz w:val="32"/>
        </w:rPr>
        <w:t>企业依法规避和防范经营风险，保障安全发展、规范运行。</w:t>
      </w:r>
      <w:r>
        <w:rPr>
          <w:rFonts w:hint="eastAsia" w:ascii="仿宋" w:hAnsi="仿宋" w:eastAsia="仿宋"/>
          <w:sz w:val="32"/>
        </w:rPr>
        <w:t>充分利用各类公共法律服务平台和公证、调解、仲裁、司法鉴定等法律服务途径，为各类企业开展免费“法治体检”等活动，提供更精准有效的法律服务。对经济困难的小微企业主、个体工商户经营者按上级相关要求提供法律援助，减免或缓缴相关法律服务费用。</w:t>
      </w:r>
    </w:p>
    <w:p>
      <w:pPr>
        <w:ind w:firstLine="643" w:firstLineChars="200"/>
        <w:rPr>
          <w:rFonts w:ascii="仿宋" w:hAnsi="仿宋" w:eastAsia="仿宋"/>
          <w:sz w:val="32"/>
        </w:rPr>
      </w:pPr>
      <w:r>
        <w:rPr>
          <w:rFonts w:hint="eastAsia" w:ascii="楷体" w:hAnsi="楷体" w:eastAsia="楷体"/>
          <w:b/>
          <w:sz w:val="32"/>
          <w:szCs w:val="32"/>
        </w:rPr>
        <w:t>（六）全力护航开放型经济体制创新发展。</w:t>
      </w:r>
      <w:r>
        <w:rPr>
          <w:rFonts w:hint="eastAsia" w:ascii="仿宋" w:hAnsi="仿宋" w:eastAsia="仿宋"/>
          <w:sz w:val="32"/>
          <w:szCs w:val="32"/>
        </w:rPr>
        <w:t>依托松江法律服务行业协会，支持各类法律服务机构做大做强，推动松江律师“走出去”开展面向全球的法律服务，参与国际性、联盟性跨境法律服务协作。支持法律服务向经济发展的新兴领域、科技领域拓展延伸，主动适应产业跨界融合发展、业态模式创新等经济社会发展新需求，更好发挥制度创新与法律服务相结合的集成作用，促进经济高质量发展。深化</w:t>
      </w:r>
      <w:r>
        <w:rPr>
          <w:rFonts w:hint="eastAsia" w:ascii="仿宋" w:hAnsi="仿宋" w:eastAsia="仿宋"/>
          <w:sz w:val="32"/>
        </w:rPr>
        <w:t>地校合作新模式，创新与华东政法大学（公共法律服务学院）“研用一体”新机制，推动以高质量公共法律服务保障松江高质量对外开放。</w:t>
      </w:r>
    </w:p>
    <w:p>
      <w:pPr>
        <w:ind w:firstLine="640" w:firstLineChars="200"/>
        <w:rPr>
          <w:rFonts w:ascii="黑体" w:hAnsi="黑体" w:eastAsia="黑体"/>
          <w:sz w:val="32"/>
        </w:rPr>
      </w:pPr>
      <w:r>
        <w:rPr>
          <w:rFonts w:hint="eastAsia" w:ascii="黑体" w:hAnsi="黑体" w:eastAsia="黑体"/>
          <w:sz w:val="32"/>
        </w:rPr>
        <w:t>五、加快推进松江公共法律服务均衡发展</w:t>
      </w:r>
    </w:p>
    <w:p>
      <w:pPr>
        <w:ind w:firstLine="643" w:firstLineChars="200"/>
        <w:rPr>
          <w:rFonts w:ascii="仿宋" w:hAnsi="仿宋" w:eastAsia="仿宋"/>
          <w:sz w:val="32"/>
        </w:rPr>
      </w:pPr>
      <w:r>
        <w:rPr>
          <w:rFonts w:hint="eastAsia" w:ascii="楷体" w:hAnsi="楷体" w:eastAsia="楷体"/>
          <w:b/>
          <w:sz w:val="32"/>
        </w:rPr>
        <w:t>（七）统筹配置城乡法律服务资源。</w:t>
      </w:r>
      <w:r>
        <w:rPr>
          <w:rFonts w:hint="eastAsia" w:ascii="仿宋" w:hAnsi="仿宋" w:eastAsia="仿宋"/>
          <w:sz w:val="32"/>
        </w:rPr>
        <w:t xml:space="preserve">推动松江新城和老城、松江浦南和浦北地区公共法律服务一体化发展，推动律师事务所向松江新城、南部地区布局，通过税收优惠、奖励补贴、简政放权等政策吸引律师开办新所、设立分所，推动公证处在佘北、泗泾、南部新城大型居住社区设立便民公证窗口。通过政府采购或者政府购买服务等手段，引导律师等服务力量赴乡村地区参与村（居）法律顾问、法律援助及其他公共法律服务。  </w:t>
      </w:r>
      <w:r>
        <w:rPr>
          <w:rFonts w:hint="eastAsia"/>
          <w:sz w:val="32"/>
        </w:rPr>
        <w:t>　　</w:t>
      </w:r>
    </w:p>
    <w:p>
      <w:pPr>
        <w:ind w:firstLine="648"/>
        <w:rPr>
          <w:rFonts w:ascii="仿宋" w:hAnsi="仿宋" w:eastAsia="仿宋"/>
          <w:sz w:val="32"/>
        </w:rPr>
      </w:pPr>
      <w:r>
        <w:rPr>
          <w:rFonts w:hint="eastAsia" w:ascii="楷体" w:hAnsi="楷体" w:eastAsia="楷体"/>
          <w:b/>
          <w:sz w:val="32"/>
        </w:rPr>
        <w:t>（八）扩大公共法律服务多元供给。</w:t>
      </w:r>
      <w:r>
        <w:rPr>
          <w:rFonts w:hint="eastAsia" w:ascii="仿宋" w:hAnsi="仿宋" w:eastAsia="仿宋"/>
          <w:sz w:val="32"/>
        </w:rPr>
        <w:t>组织律师法律服务团队持续开展“律政护航</w:t>
      </w:r>
      <w:r>
        <w:rPr>
          <w:rFonts w:ascii="仿宋" w:hAnsi="仿宋" w:eastAsia="仿宋"/>
          <w:sz w:val="32"/>
        </w:rPr>
        <w:t>G60”等</w:t>
      </w:r>
      <w:r>
        <w:rPr>
          <w:rFonts w:hint="eastAsia" w:ascii="仿宋" w:hAnsi="仿宋" w:eastAsia="仿宋"/>
          <w:sz w:val="32"/>
        </w:rPr>
        <w:t>专项法律服务活动,为</w:t>
      </w:r>
      <w:r>
        <w:rPr>
          <w:rFonts w:ascii="仿宋" w:hAnsi="仿宋" w:eastAsia="仿宋"/>
          <w:sz w:val="32"/>
        </w:rPr>
        <w:t>“一廊一轴两核”</w:t>
      </w:r>
      <w:r>
        <w:rPr>
          <w:rStyle w:val="9"/>
          <w:rFonts w:ascii="仿宋" w:hAnsi="仿宋" w:eastAsia="仿宋"/>
          <w:sz w:val="32"/>
        </w:rPr>
        <w:footnoteReference w:id="0"/>
      </w:r>
      <w:r>
        <w:rPr>
          <w:rFonts w:ascii="仿宋" w:hAnsi="仿宋" w:eastAsia="仿宋"/>
          <w:sz w:val="32"/>
        </w:rPr>
        <w:t>发展、“一高地、三生态”</w:t>
      </w:r>
      <w:r>
        <w:rPr>
          <w:rStyle w:val="9"/>
          <w:rFonts w:ascii="仿宋" w:hAnsi="仿宋" w:eastAsia="仿宋"/>
          <w:sz w:val="32"/>
        </w:rPr>
        <w:footnoteReference w:id="1"/>
      </w:r>
      <w:r>
        <w:rPr>
          <w:rFonts w:hint="eastAsia" w:ascii="仿宋" w:hAnsi="仿宋" w:eastAsia="仿宋"/>
          <w:sz w:val="32"/>
        </w:rPr>
        <w:t>建设提供专项法律服务。深化公证参与司法辅助事务，支持区法院开展对执行标的物证据保全的公证，配合区检察院推进认罪认罚下的提存公证，对密切关系民生的公证服务事项实行清单式管理。开展农民宅基地及其上房屋的确权登记试点工作，协助区确权登记中心做好农民不动产权证试点登记。巩固刑事案件审判阶段律师辩护全覆盖制度，推进刑事案件通知指派向审查起诉阶段延伸，有效保障犯罪嫌疑人、被告人人权，扩大法律援助“援松松”知名度。进一步完善基层调解组织网络，提高专职人民调解员数量，通过政府购买服务等形式，鼓励社会人员参与人民调解工作。</w:t>
      </w:r>
    </w:p>
    <w:p>
      <w:pPr>
        <w:ind w:firstLine="648"/>
        <w:rPr>
          <w:rFonts w:ascii="仿宋" w:hAnsi="仿宋" w:eastAsia="仿宋"/>
          <w:sz w:val="32"/>
        </w:rPr>
      </w:pPr>
      <w:r>
        <w:rPr>
          <w:rFonts w:hint="eastAsia" w:ascii="楷体" w:hAnsi="楷体" w:eastAsia="楷体"/>
          <w:b/>
          <w:sz w:val="32"/>
        </w:rPr>
        <w:t>（九）重点保障特殊群体合法权益。</w:t>
      </w:r>
      <w:r>
        <w:rPr>
          <w:rFonts w:hint="eastAsia" w:ascii="仿宋" w:hAnsi="仿宋" w:eastAsia="仿宋"/>
          <w:sz w:val="32"/>
        </w:rPr>
        <w:t>将残疾人、老年人、青少年、妇女、进城务工人员和军人军属、退役军人等重点人群，作为公共法律服务的重点服务对象，持续开展“法援惠民生”系列品牌活动，全面落实军人地位和权益保障法。加强对刑满释放人员、社区矫正对象、吸毒人员、肇事肇祸严重精神障碍患者、流浪乞讨人员等特殊人群管理工作，建立社会心理服务体系和危机干预机制。律师、公证等行业协会完善公益服务制度，指导法律服务机构建立健全特殊群体减免服务费用制度机制。加强特殊群体服务指导，针对各类群体不同特点，精选典型案例，开展以案释法。</w:t>
      </w:r>
    </w:p>
    <w:p>
      <w:pPr>
        <w:ind w:firstLine="640" w:firstLineChars="200"/>
        <w:rPr>
          <w:rFonts w:ascii="黑体" w:hAnsi="黑体" w:eastAsia="黑体"/>
          <w:sz w:val="32"/>
        </w:rPr>
      </w:pPr>
      <w:r>
        <w:rPr>
          <w:rFonts w:hint="eastAsia" w:ascii="黑体" w:hAnsi="黑体" w:eastAsia="黑体"/>
          <w:sz w:val="32"/>
        </w:rPr>
        <w:t>六、完善覆盖全业务全时空的公共法律服务网络</w:t>
      </w:r>
    </w:p>
    <w:p>
      <w:pPr>
        <w:ind w:firstLine="660"/>
        <w:rPr>
          <w:rFonts w:ascii="仿宋" w:hAnsi="仿宋" w:eastAsia="仿宋"/>
          <w:sz w:val="32"/>
        </w:rPr>
      </w:pPr>
      <w:r>
        <w:rPr>
          <w:rFonts w:hint="eastAsia" w:ascii="楷体" w:hAnsi="楷体" w:eastAsia="楷体"/>
          <w:b/>
          <w:sz w:val="32"/>
        </w:rPr>
        <w:t>（十）推进公共法律服务实体平台有效覆盖。</w:t>
      </w:r>
      <w:r>
        <w:rPr>
          <w:rFonts w:ascii="仿宋" w:hAnsi="仿宋" w:eastAsia="仿宋"/>
          <w:sz w:val="32"/>
        </w:rPr>
        <w:t>加快</w:t>
      </w:r>
      <w:r>
        <w:rPr>
          <w:rFonts w:hint="eastAsia" w:ascii="仿宋" w:hAnsi="仿宋" w:eastAsia="仿宋"/>
          <w:sz w:val="32"/>
        </w:rPr>
        <w:t>建设和升级区公共法律服务中心便民服务大厅，融合实体、热线、网络三大平台，入驻公证、调解、律师协会相关机构，提供律师咨询、公证服务、法律援助、行政复议案件受理、行政审批、非诉争议解决等多元法律服务。以区“十佳公共法律服务工作站（室）”评选</w:t>
      </w:r>
      <w:r>
        <w:rPr>
          <w:rFonts w:ascii="仿宋" w:hAnsi="仿宋" w:eastAsia="仿宋"/>
          <w:sz w:val="32"/>
        </w:rPr>
        <w:t>为抓手，</w:t>
      </w:r>
      <w:r>
        <w:rPr>
          <w:rFonts w:hint="eastAsia" w:ascii="仿宋" w:hAnsi="仿宋" w:eastAsia="仿宋"/>
          <w:sz w:val="32"/>
        </w:rPr>
        <w:t>加强公共法律服务工作站（室）硬件设施建设和软件服务提升，确保十分钟公共法律服务圈服务成色更足。宣传推广汽车“</w:t>
      </w:r>
      <w:r>
        <w:rPr>
          <w:rFonts w:ascii="仿宋" w:hAnsi="仿宋" w:eastAsia="仿宋"/>
          <w:sz w:val="32"/>
        </w:rPr>
        <w:t>4S阳光走廊”</w:t>
      </w:r>
      <w:r>
        <w:rPr>
          <w:rFonts w:hint="eastAsia" w:ascii="仿宋" w:hAnsi="仿宋" w:eastAsia="仿宋"/>
          <w:sz w:val="32"/>
        </w:rPr>
        <w:t>公共</w:t>
      </w:r>
      <w:r>
        <w:rPr>
          <w:rFonts w:ascii="仿宋" w:hAnsi="仿宋" w:eastAsia="仿宋"/>
          <w:sz w:val="32"/>
        </w:rPr>
        <w:t>法律服务站制度</w:t>
      </w:r>
      <w:r>
        <w:rPr>
          <w:rFonts w:hint="eastAsia" w:ascii="仿宋" w:hAnsi="仿宋" w:eastAsia="仿宋"/>
          <w:sz w:val="32"/>
        </w:rPr>
        <w:t>模式</w:t>
      </w:r>
      <w:r>
        <w:rPr>
          <w:rFonts w:ascii="仿宋" w:hAnsi="仿宋" w:eastAsia="仿宋"/>
          <w:sz w:val="32"/>
        </w:rPr>
        <w:t>，深化拓展</w:t>
      </w:r>
      <w:r>
        <w:rPr>
          <w:rFonts w:hint="eastAsia" w:ascii="仿宋" w:hAnsi="仿宋" w:eastAsia="仿宋"/>
          <w:sz w:val="32"/>
        </w:rPr>
        <w:t>小昆山镇“三区联动”公共法律服务圈和</w:t>
      </w:r>
      <w:r>
        <w:rPr>
          <w:rFonts w:ascii="仿宋" w:hAnsi="仿宋" w:eastAsia="仿宋"/>
          <w:sz w:val="32"/>
        </w:rPr>
        <w:t>非诉讼争议解决中心法院联络处基层联系点服务项目经验做法，持续</w:t>
      </w:r>
      <w:r>
        <w:rPr>
          <w:rFonts w:hint="eastAsia" w:ascii="仿宋" w:hAnsi="仿宋" w:eastAsia="仿宋"/>
          <w:sz w:val="32"/>
        </w:rPr>
        <w:t>培育一批法律服务项目成果，推动形成区级法律服务名片集群。</w:t>
      </w:r>
    </w:p>
    <w:p>
      <w:pPr>
        <w:ind w:firstLine="643" w:firstLineChars="200"/>
        <w:rPr>
          <w:rFonts w:ascii="仿宋" w:hAnsi="仿宋" w:eastAsia="仿宋"/>
          <w:sz w:val="32"/>
        </w:rPr>
      </w:pPr>
      <w:r>
        <w:rPr>
          <w:rFonts w:hint="eastAsia" w:ascii="楷体" w:hAnsi="楷体" w:eastAsia="楷体"/>
          <w:b/>
          <w:sz w:val="32"/>
        </w:rPr>
        <w:t>（十一）推动公共法律服务热线精准服务。</w:t>
      </w:r>
      <w:r>
        <w:rPr>
          <w:rFonts w:hint="eastAsia" w:ascii="仿宋" w:hAnsi="仿宋" w:eastAsia="仿宋"/>
          <w:sz w:val="32"/>
        </w:rPr>
        <w:t>推动“12348”公共法律服务热线与“12345”市民服务热线有效整合，提供“7×24小时”服务，接通率和满意率均不低于9</w:t>
      </w:r>
      <w:r>
        <w:rPr>
          <w:rFonts w:ascii="仿宋" w:hAnsi="仿宋" w:eastAsia="仿宋"/>
          <w:sz w:val="32"/>
        </w:rPr>
        <w:t>0</w:t>
      </w:r>
      <w:r>
        <w:rPr>
          <w:rFonts w:hint="eastAsia" w:ascii="仿宋" w:hAnsi="仿宋" w:eastAsia="仿宋"/>
          <w:sz w:val="32"/>
        </w:rPr>
        <w:t>%。</w:t>
      </w:r>
      <w:r>
        <w:rPr>
          <w:rFonts w:hint="cs" w:ascii="仿宋" w:hAnsi="仿宋" w:eastAsia="仿宋"/>
          <w:sz w:val="32"/>
        </w:rPr>
        <w:t>健全公共法律服务与诉讼服务、政务服务、社会服务等领域的工作对接机制，实现公共法律服务资源与政府大数据政务信息资源的全面整合和互联互通。</w:t>
      </w:r>
      <w:r>
        <w:rPr>
          <w:rFonts w:hint="eastAsia" w:ascii="仿宋" w:hAnsi="仿宋" w:eastAsia="仿宋"/>
          <w:sz w:val="32"/>
        </w:rPr>
        <w:t>提升热线平台精准化、专业化服务水平，对现有坐席律师进行专业分类，与群众来电进行相对精准的匹配。进一步加强热线答问标准化知识库建设，提高应答标准化、一致性，强化回访评价、数据归集和分析。</w:t>
      </w:r>
    </w:p>
    <w:p>
      <w:pPr>
        <w:ind w:firstLine="643" w:firstLineChars="200"/>
        <w:rPr>
          <w:rFonts w:ascii="仿宋" w:hAnsi="仿宋" w:eastAsia="仿宋"/>
          <w:sz w:val="32"/>
        </w:rPr>
      </w:pPr>
      <w:r>
        <w:rPr>
          <w:rFonts w:hint="eastAsia" w:ascii="楷体" w:hAnsi="楷体" w:eastAsia="楷体"/>
          <w:b/>
          <w:sz w:val="32"/>
        </w:rPr>
        <w:t>（十二）优化升级公共法律服务网络平台。</w:t>
      </w:r>
      <w:r>
        <w:rPr>
          <w:rFonts w:ascii="仿宋" w:hAnsi="仿宋" w:eastAsia="仿宋"/>
          <w:sz w:val="32"/>
        </w:rPr>
        <w:t>依托“一网通办”</w:t>
      </w:r>
      <w:r>
        <w:rPr>
          <w:rFonts w:hint="cs" w:ascii="Arial" w:hAnsi="Arial" w:cs="Arial"/>
          <w:szCs w:val="21"/>
          <w:shd w:val="clear" w:color="auto" w:fill="FFFFFF"/>
        </w:rPr>
        <w:t xml:space="preserve"> </w:t>
      </w:r>
      <w:r>
        <w:rPr>
          <w:rFonts w:hint="cs" w:ascii="仿宋" w:hAnsi="仿宋" w:eastAsia="仿宋"/>
          <w:sz w:val="32"/>
        </w:rPr>
        <w:t>松江区级门户</w:t>
      </w:r>
      <w:r>
        <w:rPr>
          <w:rFonts w:ascii="仿宋" w:hAnsi="仿宋" w:eastAsia="仿宋"/>
          <w:sz w:val="32"/>
        </w:rPr>
        <w:t>及“随申办”</w:t>
      </w:r>
      <w:r>
        <w:rPr>
          <w:rFonts w:hint="eastAsia" w:ascii="仿宋" w:hAnsi="仿宋" w:eastAsia="仿宋"/>
          <w:sz w:val="32"/>
        </w:rPr>
        <w:t>松江旗舰店</w:t>
      </w:r>
      <w:r>
        <w:rPr>
          <w:rFonts w:ascii="仿宋" w:hAnsi="仿宋" w:eastAsia="仿宋"/>
          <w:sz w:val="32"/>
        </w:rPr>
        <w:t>，设立</w:t>
      </w:r>
      <w:r>
        <w:rPr>
          <w:rFonts w:hint="eastAsia" w:ascii="仿宋" w:hAnsi="仿宋" w:eastAsia="仿宋"/>
          <w:sz w:val="32"/>
        </w:rPr>
        <w:t>公共法律服务专区，统一律师、公证、人民调解、法律援助等公共法律服务流程和受理指派，实现业务协同办理、服务全程监督、质效科学评价。强化信息查询功能，提供及时、高效、权威的法律法规和规范性文件查询、法律服务机构人员数据信息查询、参照案例查询、司法行政和公共法律服务办事指引服务。</w:t>
      </w:r>
      <w:r>
        <w:rPr>
          <w:rFonts w:ascii="仿宋" w:hAnsi="仿宋" w:eastAsia="仿宋"/>
          <w:sz w:val="32"/>
        </w:rPr>
        <w:t>新增一批好办、快办和“免申即享”等智能化</w:t>
      </w:r>
      <w:r>
        <w:rPr>
          <w:rFonts w:hint="eastAsia" w:ascii="仿宋" w:hAnsi="仿宋" w:eastAsia="仿宋"/>
          <w:sz w:val="32"/>
        </w:rPr>
        <w:t>公共法律</w:t>
      </w:r>
      <w:r>
        <w:rPr>
          <w:rFonts w:ascii="仿宋" w:hAnsi="仿宋" w:eastAsia="仿宋"/>
          <w:sz w:val="32"/>
        </w:rPr>
        <w:t>服务，</w:t>
      </w:r>
      <w:r>
        <w:rPr>
          <w:rFonts w:hint="eastAsia" w:ascii="仿宋" w:hAnsi="仿宋" w:eastAsia="仿宋"/>
          <w:sz w:val="32"/>
        </w:rPr>
        <w:t>提升用户体验，提高自助下单、智能语音及文本客服等智能化应用水平，提高网络在线咨询服务质量和效率。</w:t>
      </w:r>
    </w:p>
    <w:p>
      <w:pPr>
        <w:ind w:firstLine="640" w:firstLineChars="200"/>
        <w:rPr>
          <w:rFonts w:ascii="黑体" w:hAnsi="黑体" w:eastAsia="黑体"/>
          <w:bCs/>
          <w:sz w:val="32"/>
        </w:rPr>
      </w:pPr>
      <w:r>
        <w:rPr>
          <w:rFonts w:hint="eastAsia" w:ascii="黑体" w:hAnsi="黑体" w:eastAsia="黑体"/>
          <w:bCs/>
          <w:sz w:val="32"/>
        </w:rPr>
        <w:t>七</w:t>
      </w:r>
      <w:r>
        <w:rPr>
          <w:rFonts w:hint="cs" w:ascii="黑体" w:hAnsi="黑体" w:eastAsia="黑体"/>
          <w:bCs/>
          <w:sz w:val="32"/>
        </w:rPr>
        <w:t>、保障司法公正和法律服务行业健康发展</w:t>
      </w:r>
    </w:p>
    <w:p>
      <w:pPr>
        <w:ind w:firstLine="643" w:firstLineChars="200"/>
        <w:rPr>
          <w:rFonts w:ascii="仿宋" w:hAnsi="仿宋" w:eastAsia="仿宋"/>
          <w:sz w:val="32"/>
        </w:rPr>
      </w:pPr>
      <w:r>
        <w:rPr>
          <w:rFonts w:hint="cs" w:ascii="楷体" w:hAnsi="楷体" w:eastAsia="楷体"/>
          <w:b/>
          <w:bCs/>
          <w:sz w:val="32"/>
        </w:rPr>
        <w:t>（</w:t>
      </w:r>
      <w:r>
        <w:rPr>
          <w:rFonts w:hint="eastAsia" w:ascii="楷体" w:hAnsi="楷体" w:eastAsia="楷体"/>
          <w:b/>
          <w:bCs/>
          <w:sz w:val="32"/>
        </w:rPr>
        <w:t>十三</w:t>
      </w:r>
      <w:r>
        <w:rPr>
          <w:rFonts w:hint="cs" w:ascii="楷体" w:hAnsi="楷体" w:eastAsia="楷体"/>
          <w:b/>
          <w:bCs/>
          <w:sz w:val="32"/>
        </w:rPr>
        <w:t>）健全完善律师管理体系。</w:t>
      </w:r>
      <w:r>
        <w:rPr>
          <w:rFonts w:hint="eastAsia" w:ascii="仿宋" w:hAnsi="仿宋" w:eastAsia="仿宋"/>
          <w:sz w:val="32"/>
        </w:rPr>
        <w:t>完善区律师工作联席会议机制，推动将律师事务所纳入松江新城人才政策，吸引高端法律人才、涉外法律人才落户松江，培育一批专业化、规模化、国际化</w:t>
      </w:r>
      <w:r>
        <w:rPr>
          <w:rFonts w:ascii="仿宋" w:hAnsi="仿宋" w:eastAsia="仿宋"/>
          <w:sz w:val="32"/>
        </w:rPr>
        <w:t>律师事务所</w:t>
      </w:r>
      <w:r>
        <w:rPr>
          <w:rFonts w:hint="eastAsia" w:ascii="仿宋" w:hAnsi="仿宋" w:eastAsia="仿宋"/>
          <w:sz w:val="32"/>
        </w:rPr>
        <w:t>。</w:t>
      </w:r>
      <w:r>
        <w:rPr>
          <w:rFonts w:hint="cs" w:ascii="仿宋" w:hAnsi="仿宋" w:eastAsia="仿宋"/>
          <w:sz w:val="32"/>
        </w:rPr>
        <w:t>建立健全律师参与立法、执法、司法的工作机制，规范律师辩护代理行为，提高刑事辩护代理质量，充分发挥辩护律师在刑事案件审判中的重要作用。健全完善律师执业权利保障、参与诉讼和权利救济机制，优化律师执业环境，依法依规保障律师在诉讼中会见、阅卷、收集证据和发问、质证、辩论等方面的执业权利。加强律师执业管理，健全律师执业行为规范，优化律师职业评价体系。完善律师不良执业信息记录、披露和查询制度。加强律师队伍思想政治建设、职业道德诚信建设和业务培训，优化律师队伍结构，大力发展公职律师、公司律师。</w:t>
      </w:r>
    </w:p>
    <w:p>
      <w:pPr>
        <w:ind w:firstLine="643" w:firstLineChars="200"/>
        <w:rPr>
          <w:rFonts w:ascii="仿宋" w:hAnsi="仿宋" w:eastAsia="仿宋"/>
          <w:sz w:val="32"/>
        </w:rPr>
      </w:pPr>
      <w:r>
        <w:rPr>
          <w:rFonts w:hint="cs" w:ascii="楷体" w:hAnsi="楷体" w:eastAsia="楷体"/>
          <w:b/>
          <w:bCs/>
          <w:sz w:val="32"/>
        </w:rPr>
        <w:t>（</w:t>
      </w:r>
      <w:r>
        <w:rPr>
          <w:rFonts w:hint="eastAsia" w:ascii="楷体" w:hAnsi="楷体" w:eastAsia="楷体"/>
          <w:b/>
          <w:bCs/>
          <w:sz w:val="32"/>
        </w:rPr>
        <w:t>十四</w:t>
      </w:r>
      <w:r>
        <w:rPr>
          <w:rFonts w:hint="cs" w:ascii="楷体" w:hAnsi="楷体" w:eastAsia="楷体"/>
          <w:b/>
          <w:bCs/>
          <w:sz w:val="32"/>
        </w:rPr>
        <w:t>）深入推进公证行业高质量发展。</w:t>
      </w:r>
      <w:r>
        <w:rPr>
          <w:rFonts w:hint="cs" w:ascii="仿宋" w:hAnsi="仿宋" w:eastAsia="仿宋"/>
          <w:sz w:val="32"/>
        </w:rPr>
        <w:t>研究制定</w:t>
      </w:r>
      <w:r>
        <w:rPr>
          <w:rFonts w:hint="eastAsia" w:ascii="仿宋" w:hAnsi="仿宋" w:eastAsia="仿宋"/>
          <w:sz w:val="32"/>
        </w:rPr>
        <w:t>松江公证</w:t>
      </w:r>
      <w:r>
        <w:rPr>
          <w:rFonts w:hint="cs" w:ascii="仿宋" w:hAnsi="仿宋" w:eastAsia="仿宋"/>
          <w:sz w:val="32"/>
        </w:rPr>
        <w:t>行业发展长期规划，全流程监管重大敏感涉众公证事项，健全公证质量监管机制和风险隐患防范化解体系。</w:t>
      </w:r>
      <w:r>
        <w:rPr>
          <w:rFonts w:hint="eastAsia" w:ascii="仿宋" w:hAnsi="仿宋" w:eastAsia="仿宋"/>
          <w:sz w:val="32"/>
        </w:rPr>
        <w:t>固化松江公证处在房产及工业土地出让领域的经验做法，推进开展镇（街道）、工业园区的公正法律顾问服务模式，为区域转型发展铺路搭桥。积极推进金融、证券领域公证业务，试点开展网上金融贷款、上市公司股权分配、股东大会现场监督公证等。落实部分公证事项实行“跨省通办”要求，推动长三角九城市公证业务协查合作、共同发展、一体建设。增强</w:t>
      </w:r>
      <w:r>
        <w:rPr>
          <w:rFonts w:ascii="仿宋" w:hAnsi="仿宋" w:eastAsia="仿宋"/>
          <w:sz w:val="32"/>
        </w:rPr>
        <w:t>“三农”公证服务品牌示范效应，</w:t>
      </w:r>
      <w:r>
        <w:rPr>
          <w:rFonts w:hint="cs" w:ascii="仿宋" w:hAnsi="仿宋" w:eastAsia="仿宋"/>
          <w:sz w:val="32"/>
        </w:rPr>
        <w:t>继续培树特色公证业务，丰富利企便民举措，积极拓展公证公益法律服务范围，持续提升公证服务质效。推进行业信息化建设，加强部门间数据共享，优化“智慧公证”系统，切实减轻群众举证负担。</w:t>
      </w:r>
    </w:p>
    <w:p>
      <w:pPr>
        <w:ind w:firstLine="643" w:firstLineChars="200"/>
        <w:rPr>
          <w:rFonts w:ascii="仿宋" w:hAnsi="仿宋" w:eastAsia="仿宋"/>
          <w:sz w:val="32"/>
        </w:rPr>
      </w:pPr>
      <w:r>
        <w:rPr>
          <w:rFonts w:hint="cs" w:ascii="楷体" w:hAnsi="楷体" w:eastAsia="楷体"/>
          <w:b/>
          <w:bCs/>
          <w:sz w:val="32"/>
        </w:rPr>
        <w:t>（</w:t>
      </w:r>
      <w:r>
        <w:rPr>
          <w:rFonts w:hint="eastAsia" w:ascii="楷体" w:hAnsi="楷体" w:eastAsia="楷体"/>
          <w:b/>
          <w:bCs/>
          <w:sz w:val="32"/>
        </w:rPr>
        <w:t>十五</w:t>
      </w:r>
      <w:r>
        <w:rPr>
          <w:rFonts w:hint="cs" w:ascii="楷体" w:hAnsi="楷体" w:eastAsia="楷体"/>
          <w:b/>
          <w:bCs/>
          <w:sz w:val="32"/>
        </w:rPr>
        <w:t>）积极推进法律援助工作。</w:t>
      </w:r>
      <w:r>
        <w:rPr>
          <w:rFonts w:hint="cs" w:ascii="仿宋" w:hAnsi="仿宋" w:eastAsia="仿宋"/>
          <w:sz w:val="32"/>
        </w:rPr>
        <w:t>持续做好刑事法律援助工作，</w:t>
      </w:r>
      <w:r>
        <w:rPr>
          <w:rFonts w:hint="eastAsia" w:ascii="仿宋" w:hAnsi="仿宋" w:eastAsia="仿宋"/>
          <w:sz w:val="32"/>
        </w:rPr>
        <w:t>严格落实法律援助值班律师制度和刑事案件辩护全覆盖</w:t>
      </w:r>
      <w:r>
        <w:rPr>
          <w:rFonts w:hint="cs" w:ascii="仿宋" w:hAnsi="仿宋" w:eastAsia="仿宋"/>
          <w:sz w:val="32"/>
        </w:rPr>
        <w:t>，统筹实际需求和服务资源，落实保障措施。加强法律援助标准化建设，建立健全法律援助服务评价指标体系。依法降低法律援助门槛，</w:t>
      </w:r>
      <w:r>
        <w:rPr>
          <w:rFonts w:hint="eastAsia" w:ascii="仿宋" w:hAnsi="仿宋" w:eastAsia="仿宋"/>
          <w:sz w:val="32"/>
        </w:rPr>
        <w:t>切实将低收入人群纳入法律援助范围，稳步扩大覆盖人群。</w:t>
      </w:r>
      <w:r>
        <w:rPr>
          <w:rFonts w:hint="cs" w:ascii="仿宋" w:hAnsi="仿宋" w:eastAsia="仿宋"/>
          <w:sz w:val="32"/>
        </w:rPr>
        <w:t>持续完善法律援助经济困难告知承诺制，</w:t>
      </w:r>
      <w:r>
        <w:rPr>
          <w:rFonts w:hint="eastAsia" w:ascii="仿宋" w:hAnsi="仿宋" w:eastAsia="仿宋"/>
          <w:sz w:val="32"/>
        </w:rPr>
        <w:t>充分发挥法律援助在涉军维权工作中的积极作用，</w:t>
      </w:r>
      <w:r>
        <w:rPr>
          <w:rFonts w:hint="cs" w:ascii="仿宋" w:hAnsi="仿宋" w:eastAsia="仿宋"/>
          <w:sz w:val="32"/>
        </w:rPr>
        <w:t>与相关部门逐步实现信息共享和工作协同。定期向社会公布法律援助资金使用、案件办理、质量考核结果等情况，接受社会监督，加强服务质量监管。</w:t>
      </w:r>
      <w:r>
        <w:rPr>
          <w:rFonts w:hint="eastAsia" w:ascii="仿宋" w:hAnsi="仿宋" w:eastAsia="仿宋"/>
          <w:sz w:val="32"/>
        </w:rPr>
        <w:t>到2025年，全区每十万人口每年获得法律援助服务达到1</w:t>
      </w:r>
      <w:r>
        <w:rPr>
          <w:rFonts w:ascii="仿宋" w:hAnsi="仿宋" w:eastAsia="仿宋"/>
          <w:sz w:val="32"/>
        </w:rPr>
        <w:t>8</w:t>
      </w:r>
      <w:r>
        <w:rPr>
          <w:rFonts w:hint="eastAsia" w:ascii="仿宋" w:hAnsi="仿宋" w:eastAsia="仿宋"/>
          <w:sz w:val="32"/>
        </w:rPr>
        <w:t>0件。</w:t>
      </w:r>
    </w:p>
    <w:p>
      <w:pPr>
        <w:ind w:firstLine="640" w:firstLineChars="200"/>
        <w:rPr>
          <w:sz w:val="32"/>
        </w:rPr>
      </w:pPr>
      <w:r>
        <w:rPr>
          <w:rFonts w:hint="eastAsia" w:ascii="黑体" w:hAnsi="黑体" w:eastAsia="黑体"/>
          <w:bCs/>
          <w:sz w:val="32"/>
        </w:rPr>
        <w:t>八、持续提升公民法治素养</w:t>
      </w:r>
    </w:p>
    <w:p>
      <w:pPr>
        <w:widowControl/>
        <w:ind w:firstLine="643" w:firstLineChars="200"/>
        <w:rPr>
          <w:rFonts w:ascii="仿宋" w:hAnsi="仿宋" w:eastAsia="仿宋"/>
          <w:sz w:val="32"/>
        </w:rPr>
      </w:pPr>
      <w:r>
        <w:rPr>
          <w:rFonts w:hint="eastAsia" w:ascii="楷体" w:hAnsi="楷体" w:eastAsia="楷体"/>
          <w:b/>
          <w:sz w:val="32"/>
        </w:rPr>
        <w:t>（十六）全面落实“八五”普法规划。</w:t>
      </w:r>
      <w:r>
        <w:rPr>
          <w:rFonts w:hint="eastAsia" w:ascii="仿宋" w:hAnsi="仿宋" w:eastAsia="仿宋"/>
          <w:sz w:val="32"/>
        </w:rPr>
        <w:t>建立健全习近平法治思想研学常态化机制，持续举办“浦江源”习近平法治思想论坛，壮大领导干部法治教育的“松江品牌”。认真落实领导干部学法述法讲法制度，健全区专题述法规则，实现党政主要领导述法全覆盖。深化“谁执法谁普法”普法责任制，完善普法责任履职评议报告制度，推动在执法、司法过程中实时普法、全程普法。聚焦松江城市战略定位,推动开展国家宪法日、“宪法宣传周”“民法典宣传月”等集中宣传活动与“法治松江”微信公众号、“直播松江—法在身边”融媒体电台联动，强化“党内法规宣讲团”宣讲常态化、制度化，深化与群众生产生活密切相关法律法规的普法宣传，实现松江大普法大联动大成效。</w:t>
      </w:r>
    </w:p>
    <w:p>
      <w:pPr>
        <w:widowControl/>
        <w:ind w:firstLine="643" w:firstLineChars="200"/>
        <w:rPr>
          <w:rFonts w:ascii="仿宋" w:hAnsi="仿宋" w:eastAsia="仿宋"/>
          <w:sz w:val="32"/>
        </w:rPr>
      </w:pPr>
      <w:bookmarkStart w:id="11" w:name="_Hlk128169865"/>
      <w:bookmarkEnd w:id="11"/>
      <w:r>
        <w:rPr>
          <w:rFonts w:hint="eastAsia" w:ascii="楷体" w:hAnsi="楷体" w:eastAsia="楷体"/>
          <w:b/>
          <w:sz w:val="32"/>
        </w:rPr>
        <w:t>（十七）</w:t>
      </w:r>
      <w:r>
        <w:rPr>
          <w:rFonts w:ascii="楷体" w:hAnsi="楷体" w:eastAsia="楷体"/>
          <w:b/>
          <w:bCs/>
          <w:sz w:val="32"/>
        </w:rPr>
        <w:t>提升公民法治素养和道德素质</w:t>
      </w:r>
      <w:r>
        <w:rPr>
          <w:rFonts w:hint="eastAsia" w:ascii="楷体" w:hAnsi="楷体" w:eastAsia="楷体"/>
          <w:b/>
          <w:sz w:val="32"/>
        </w:rPr>
        <w:t>。</w:t>
      </w:r>
      <w:r>
        <w:rPr>
          <w:rFonts w:ascii="仿宋" w:hAnsi="仿宋" w:eastAsia="仿宋"/>
          <w:sz w:val="32"/>
        </w:rPr>
        <w:t>逐步在镇（街道）相关职能部门设立实践平台，共同组建镇（街道）“法治素养实践基地”，提升社区居民学法参与度。开展社区法治环境微更新，推动法治元素可视化，把社区打造成多维立体式法治“教科书”。大力宣传崇法向善、坚守法治的模范人物，选树群众身边先进典型，讲好平凡人物的法治故事。开展面向家庭的法治主题实践活动，培育尊老爱幼、男女平等、夫妻和睦的模范守法家庭，彰显家庭家教家风在社区法治建设中的重要作用。编制符合松江</w:t>
      </w:r>
      <w:r>
        <w:rPr>
          <w:rFonts w:hint="eastAsia" w:ascii="仿宋" w:hAnsi="仿宋" w:eastAsia="仿宋"/>
          <w:sz w:val="32"/>
        </w:rPr>
        <w:t>特点的公民法治素养测评体系，开展科学合理的法治素养测评，</w:t>
      </w:r>
      <w:r>
        <w:rPr>
          <w:rFonts w:ascii="仿宋" w:hAnsi="仿宋" w:eastAsia="仿宋"/>
          <w:sz w:val="32"/>
        </w:rPr>
        <w:t>全面客观分析测评结果数据，不断提升社区居民法治素养。</w:t>
      </w:r>
    </w:p>
    <w:p>
      <w:pPr>
        <w:ind w:firstLine="643" w:firstLineChars="200"/>
        <w:rPr>
          <w:rFonts w:ascii="仿宋" w:hAnsi="仿宋" w:eastAsia="仿宋"/>
          <w:sz w:val="32"/>
        </w:rPr>
      </w:pPr>
      <w:r>
        <w:rPr>
          <w:rFonts w:hint="eastAsia" w:ascii="楷体" w:hAnsi="楷体" w:eastAsia="楷体"/>
          <w:b/>
          <w:sz w:val="32"/>
        </w:rPr>
        <w:t>（十八）发展松江特色法治文化。</w:t>
      </w:r>
      <w:r>
        <w:rPr>
          <w:rFonts w:hint="eastAsia" w:ascii="仿宋" w:hAnsi="仿宋" w:eastAsia="仿宋"/>
          <w:sz w:val="32"/>
        </w:rPr>
        <w:t xml:space="preserve">贯彻落实关于加强社会主义法治文化建设的意见，加强区级法治文化阵地建设，推进一镇（街道）一阵地、一村（社区）一阵地工程，争创市级法治文化品牌阵地。建立法治文化精品库，持续扩大“小城杯”“法治松江公益广告”等法治文化品牌的影响力。充分利用松江大学城资源，挖掘各所大学法治文化特色，打造大学城普法矩阵。开展法学院校与松江区中小学结对共建，丰富中小学法学教育资源，以专业力量加强青少年法治教育。持续开展百场法治讲座进企业活动，深化区国资委开展法治国企建设活动，推进国企法治文化阵地和法治文化活动品牌建设。加快法治文化与新媒体融合发展，推进法治文化建设制度健全化、产品多元化、阵地规模化、队伍集群化、传播智能化。 </w:t>
      </w:r>
    </w:p>
    <w:p>
      <w:pPr>
        <w:ind w:firstLine="640" w:firstLineChars="200"/>
        <w:rPr>
          <w:rFonts w:ascii="黑体" w:hAnsi="黑体" w:eastAsia="黑体"/>
          <w:sz w:val="32"/>
        </w:rPr>
      </w:pPr>
      <w:r>
        <w:rPr>
          <w:rFonts w:hint="eastAsia" w:ascii="黑体" w:hAnsi="黑体" w:eastAsia="黑体"/>
          <w:bCs/>
          <w:sz w:val="32"/>
        </w:rPr>
        <w:t>九</w:t>
      </w:r>
      <w:r>
        <w:rPr>
          <w:rFonts w:hint="cs" w:ascii="黑体" w:hAnsi="黑体" w:eastAsia="黑体"/>
          <w:bCs/>
          <w:sz w:val="32"/>
        </w:rPr>
        <w:t>、服务基层社会治理新格局</w:t>
      </w:r>
    </w:p>
    <w:p>
      <w:pPr>
        <w:ind w:firstLine="643" w:firstLineChars="200"/>
        <w:rPr>
          <w:rFonts w:ascii="仿宋" w:hAnsi="仿宋" w:eastAsia="仿宋"/>
          <w:sz w:val="32"/>
        </w:rPr>
      </w:pPr>
      <w:r>
        <w:rPr>
          <w:rFonts w:hint="cs" w:ascii="仿宋" w:hAnsi="仿宋" w:eastAsia="仿宋"/>
          <w:b/>
          <w:bCs/>
          <w:sz w:val="32"/>
        </w:rPr>
        <w:t>（</w:t>
      </w:r>
      <w:r>
        <w:rPr>
          <w:rFonts w:hint="eastAsia" w:ascii="仿宋" w:hAnsi="仿宋" w:eastAsia="仿宋"/>
          <w:b/>
          <w:bCs/>
          <w:sz w:val="32"/>
        </w:rPr>
        <w:t>十九</w:t>
      </w:r>
      <w:r>
        <w:rPr>
          <w:rFonts w:hint="cs" w:ascii="仿宋" w:hAnsi="仿宋" w:eastAsia="仿宋"/>
          <w:b/>
          <w:bCs/>
          <w:sz w:val="32"/>
        </w:rPr>
        <w:t>）构建矛盾纠纷多元化解格局。</w:t>
      </w:r>
      <w:r>
        <w:rPr>
          <w:rFonts w:hint="eastAsia" w:ascii="仿宋" w:hAnsi="仿宋" w:eastAsia="仿宋"/>
          <w:sz w:val="32"/>
        </w:rPr>
        <w:t>深入落实《上海市促进多元化解矛盾纠纷条例》，以非诉讼纠纷解决机制为先，加强矛盾纠纷源头预防和诉源治理，打造新时</w:t>
      </w:r>
      <w:r>
        <w:rPr>
          <w:rFonts w:hint="cs" w:ascii="仿宋" w:hAnsi="仿宋" w:eastAsia="仿宋"/>
          <w:sz w:val="32"/>
        </w:rPr>
        <w:t>代松江版“枫桥经验”。完善人民调解、行政调解、司法调解联动工作体系，加强人民调解工作规范化建设，完善行业性专业性调解管理制度和工作机制。完善调解、信访、仲裁、行政裁决、行政复议、诉讼等矛盾纠纷多元预防调处化解综合机制，拓展业务领域，健全诉调衔接机制和司法确认程序。</w:t>
      </w:r>
      <w:r>
        <w:rPr>
          <w:rFonts w:ascii="仿宋" w:hAnsi="仿宋" w:eastAsia="仿宋"/>
          <w:sz w:val="32"/>
        </w:rPr>
        <w:t>建立健全基层矛盾纠纷排查制度，完善政府与媒体和公众沟通的公共事件应对机制，及时准确发布相关信息，强化依法应对和处置群体性事件的</w:t>
      </w:r>
      <w:r>
        <w:rPr>
          <w:rFonts w:hint="eastAsia" w:ascii="仿宋" w:hAnsi="仿宋" w:eastAsia="仿宋"/>
          <w:sz w:val="32"/>
        </w:rPr>
        <w:t>机制和能力。</w:t>
      </w:r>
    </w:p>
    <w:p>
      <w:pPr>
        <w:ind w:firstLine="640" w:firstLineChars="200"/>
        <w:rPr>
          <w:rFonts w:ascii="仿宋" w:hAnsi="仿宋" w:eastAsia="仿宋"/>
          <w:sz w:val="32"/>
        </w:rPr>
      </w:pPr>
      <w:r>
        <w:rPr>
          <w:rFonts w:hint="eastAsia" w:ascii="仿宋" w:hAnsi="仿宋" w:eastAsia="仿宋"/>
          <w:sz w:val="32"/>
        </w:rPr>
        <w:t>有序推进在大型企业、经济技术开发区、综合保税区等设立调解组织，支持各类调解组织入驻非诉讼争议解决中心，打造纠纷调解枢纽平台。深化非诉中心法院联络处基层联系点建设，指导开展调诉对接无纸化流转的工作，提升调解公信力。深入推进律师调解工作，完善律师参与化解信访案件工作机制，鼓励支持律师参与检察听证工作，引导群众理性表达诉求。</w:t>
      </w:r>
      <w:r>
        <w:rPr>
          <w:rFonts w:hint="cs" w:ascii="仿宋" w:hAnsi="仿宋" w:eastAsia="仿宋"/>
          <w:sz w:val="32"/>
        </w:rPr>
        <w:t>加强“智慧调解”建设，建立智能、便捷、高效的</w:t>
      </w:r>
      <w:r>
        <w:rPr>
          <w:rFonts w:hint="eastAsia" w:ascii="仿宋" w:hAnsi="仿宋" w:eastAsia="仿宋"/>
          <w:sz w:val="32"/>
        </w:rPr>
        <w:t>远程视频调解平台，着力提升调解信息化、智能化水平。</w:t>
      </w:r>
    </w:p>
    <w:p>
      <w:pPr>
        <w:ind w:firstLine="643" w:firstLineChars="200"/>
        <w:rPr>
          <w:rFonts w:ascii="仿宋" w:hAnsi="仿宋" w:eastAsia="仿宋"/>
          <w:sz w:val="32"/>
        </w:rPr>
      </w:pPr>
      <w:bookmarkStart w:id="12" w:name="_Hlk128311612"/>
      <w:bookmarkEnd w:id="12"/>
      <w:r>
        <w:rPr>
          <w:rFonts w:hint="cs" w:ascii="仿宋" w:hAnsi="仿宋" w:eastAsia="仿宋"/>
          <w:b/>
          <w:bCs/>
          <w:sz w:val="32"/>
        </w:rPr>
        <w:t>（二</w:t>
      </w:r>
      <w:r>
        <w:rPr>
          <w:rFonts w:hint="eastAsia" w:ascii="仿宋" w:hAnsi="仿宋" w:eastAsia="仿宋"/>
          <w:b/>
          <w:bCs/>
          <w:sz w:val="32"/>
        </w:rPr>
        <w:t>十</w:t>
      </w:r>
      <w:r>
        <w:rPr>
          <w:rFonts w:hint="cs" w:ascii="仿宋" w:hAnsi="仿宋" w:eastAsia="仿宋"/>
          <w:b/>
          <w:bCs/>
          <w:sz w:val="32"/>
        </w:rPr>
        <w:t>）深化城乡基层依法治理。</w:t>
      </w:r>
      <w:r>
        <w:rPr>
          <w:rFonts w:hint="cs" w:ascii="仿宋" w:hAnsi="仿宋" w:eastAsia="仿宋"/>
          <w:sz w:val="32"/>
        </w:rPr>
        <w:t>围绕服务乡村振兴战略，深入实施“乡村振兴 法治同行”专项活动，强化法治乡村（社区）建设。</w:t>
      </w:r>
      <w:r>
        <w:rPr>
          <w:rFonts w:hint="eastAsia" w:ascii="仿宋" w:hAnsi="仿宋" w:eastAsia="仿宋"/>
          <w:sz w:val="32"/>
        </w:rPr>
        <w:t>全面推进法治建设示范街镇创建工作，深入总结宣传广富林街道基层治理经验，打造更多松江样本。常态化开展民主法治示范村</w:t>
      </w:r>
      <w:r>
        <w:rPr>
          <w:rFonts w:hint="cs" w:ascii="仿宋" w:hAnsi="仿宋" w:eastAsia="仿宋"/>
          <w:sz w:val="32"/>
        </w:rPr>
        <w:t>（社区）</w:t>
      </w:r>
      <w:r>
        <w:rPr>
          <w:rFonts w:hint="eastAsia" w:ascii="仿宋" w:hAnsi="仿宋" w:eastAsia="仿宋"/>
          <w:sz w:val="32"/>
        </w:rPr>
        <w:t>管理工作，加强对“全国民主法治示范村</w:t>
      </w:r>
      <w:r>
        <w:rPr>
          <w:rFonts w:hint="cs" w:ascii="仿宋" w:hAnsi="仿宋" w:eastAsia="仿宋"/>
          <w:sz w:val="32"/>
        </w:rPr>
        <w:t>（社区）”</w:t>
      </w:r>
      <w:r>
        <w:rPr>
          <w:rFonts w:hint="eastAsia" w:ascii="仿宋" w:hAnsi="仿宋" w:eastAsia="仿宋"/>
          <w:sz w:val="32"/>
        </w:rPr>
        <w:t>重点培育单位的指导和管理工作，及时更新重点培育单位名单，法治赋能基层社会治理。全面推进法治观察点、法治观察员建设，深化基层法治观察行互动，提升法治观察员履职能力、观察质量，形成一批高质量的法治观察建议、典型案例。开展专题法治督察，扩大实地督察范围，以法治观察推动基层法治建设水平不断提升。</w:t>
      </w:r>
    </w:p>
    <w:p>
      <w:pPr>
        <w:ind w:firstLine="643" w:firstLineChars="200"/>
        <w:rPr>
          <w:rFonts w:ascii="仿宋" w:hAnsi="仿宋" w:eastAsia="仿宋"/>
          <w:sz w:val="32"/>
        </w:rPr>
      </w:pPr>
      <w:bookmarkStart w:id="13" w:name="_Hlk128316615"/>
      <w:bookmarkEnd w:id="13"/>
      <w:r>
        <w:rPr>
          <w:rFonts w:hint="cs" w:ascii="仿宋" w:hAnsi="仿宋" w:eastAsia="仿宋"/>
          <w:b/>
          <w:bCs/>
          <w:sz w:val="32"/>
        </w:rPr>
        <w:t>（</w:t>
      </w:r>
      <w:r>
        <w:rPr>
          <w:rFonts w:hint="eastAsia" w:ascii="仿宋" w:hAnsi="仿宋" w:eastAsia="仿宋"/>
          <w:b/>
          <w:bCs/>
          <w:sz w:val="32"/>
        </w:rPr>
        <w:t>二十一</w:t>
      </w:r>
      <w:r>
        <w:rPr>
          <w:rFonts w:hint="cs" w:ascii="仿宋" w:hAnsi="仿宋" w:eastAsia="仿宋"/>
          <w:b/>
          <w:bCs/>
          <w:sz w:val="32"/>
        </w:rPr>
        <w:t>）强化司法所的基础性作用。</w:t>
      </w:r>
      <w:r>
        <w:rPr>
          <w:rFonts w:hint="cs" w:ascii="仿宋" w:hAnsi="仿宋" w:eastAsia="仿宋"/>
          <w:sz w:val="32"/>
        </w:rPr>
        <w:t>强化司法所工作职能，提高司法所协调推进基层政府依法行政的能力和综合保障基层公共法律服务供给的能力，</w:t>
      </w:r>
      <w:r>
        <w:rPr>
          <w:rFonts w:hint="eastAsia" w:ascii="仿宋" w:hAnsi="仿宋" w:eastAsia="仿宋"/>
          <w:sz w:val="32"/>
        </w:rPr>
        <w:t>协调、推进基层法治建设。</w:t>
      </w:r>
      <w:r>
        <w:rPr>
          <w:rFonts w:hint="cs" w:ascii="仿宋" w:hAnsi="仿宋" w:eastAsia="仿宋"/>
          <w:sz w:val="32"/>
        </w:rPr>
        <w:t>发挥司法所化解矛盾纠纷、法治宣传、基层法律服务、法律咨询等服务功能，统筹提供法律援助、律师、公证等法律服务指引。</w:t>
      </w:r>
      <w:r>
        <w:rPr>
          <w:rFonts w:hint="eastAsia" w:ascii="仿宋" w:hAnsi="仿宋" w:eastAsia="仿宋"/>
          <w:sz w:val="32"/>
        </w:rPr>
        <w:t>组织实施社区矫正对象日常管理和教育帮扶工作，协调“安置帮教工作站”成员单位和其他相关部门、群团组织，以及社会帮教组织为刑释解矫人员提供相应的服务。优质实施“法律明白人” “法治带头人”工程，做好“两人”工程培训，提升法治素养和业务能力，确保“两人”工程</w:t>
      </w:r>
      <w:r>
        <w:rPr>
          <w:rFonts w:hint="cs" w:ascii="仿宋" w:hAnsi="仿宋" w:eastAsia="仿宋"/>
          <w:sz w:val="32"/>
        </w:rPr>
        <w:t>培养机制规范、队伍结构合理、作用发挥明显。</w:t>
      </w:r>
      <w:r>
        <w:rPr>
          <w:rFonts w:hint="eastAsia" w:ascii="仿宋" w:hAnsi="仿宋" w:eastAsia="仿宋"/>
          <w:sz w:val="32"/>
        </w:rPr>
        <w:t>深入开展“法治为民办实事”活动。</w:t>
      </w:r>
    </w:p>
    <w:p>
      <w:pPr>
        <w:ind w:firstLine="640" w:firstLineChars="200"/>
        <w:rPr>
          <w:rFonts w:ascii="黑体" w:hAnsi="黑体" w:eastAsia="黑体"/>
          <w:sz w:val="32"/>
          <w:szCs w:val="32"/>
        </w:rPr>
      </w:pPr>
      <w:bookmarkStart w:id="14" w:name="_Hlk123809668"/>
      <w:bookmarkEnd w:id="14"/>
      <w:r>
        <w:rPr>
          <w:rFonts w:hint="eastAsia" w:ascii="黑体" w:hAnsi="黑体" w:eastAsia="黑体"/>
          <w:sz w:val="32"/>
          <w:szCs w:val="32"/>
        </w:rPr>
        <w:t>十、</w:t>
      </w:r>
      <w:r>
        <w:rPr>
          <w:rFonts w:ascii="黑体" w:hAnsi="黑体" w:eastAsia="黑体"/>
          <w:sz w:val="32"/>
          <w:szCs w:val="32"/>
        </w:rPr>
        <w:t>加强规划实施保障</w:t>
      </w:r>
    </w:p>
    <w:p>
      <w:pPr>
        <w:ind w:firstLine="643" w:firstLineChars="200"/>
        <w:rPr>
          <w:rFonts w:ascii="仿宋" w:hAnsi="仿宋" w:eastAsia="仿宋"/>
          <w:sz w:val="32"/>
          <w:szCs w:val="32"/>
        </w:rPr>
      </w:pPr>
      <w:bookmarkStart w:id="15" w:name="_Hlk123489779"/>
      <w:bookmarkEnd w:id="15"/>
      <w:r>
        <w:rPr>
          <w:rFonts w:hint="eastAsia" w:ascii="楷体" w:hAnsi="楷体" w:eastAsia="楷体"/>
          <w:b/>
          <w:sz w:val="32"/>
          <w:szCs w:val="32"/>
        </w:rPr>
        <w:t>（二十二）</w:t>
      </w:r>
      <w:r>
        <w:rPr>
          <w:rFonts w:ascii="楷体" w:hAnsi="楷体" w:eastAsia="楷体"/>
          <w:b/>
          <w:sz w:val="32"/>
          <w:szCs w:val="32"/>
        </w:rPr>
        <w:t>加强统筹协调</w:t>
      </w:r>
      <w:r>
        <w:rPr>
          <w:rFonts w:hint="eastAsia" w:ascii="楷体" w:hAnsi="楷体" w:eastAsia="楷体"/>
          <w:b/>
          <w:sz w:val="32"/>
          <w:szCs w:val="32"/>
        </w:rPr>
        <w:t>。</w:t>
      </w:r>
      <w:r>
        <w:rPr>
          <w:rFonts w:hint="eastAsia" w:ascii="仿宋" w:hAnsi="仿宋" w:eastAsia="仿宋"/>
          <w:sz w:val="32"/>
          <w:szCs w:val="32"/>
        </w:rPr>
        <w:t>建立公共法律服务体系建设部门联席会议机制，区司法局牵头，区发改委、区法院、区检察院、区公安分局、区人社局、区委编办、区财政局、区教育局、区卫生健康委、区市场监管局、区农业农村委、区文化旅游局、区民政局、区信访局、区退役军人局以及群团组织等部门和各镇（街道）定期会商，协同推进公共法律服务体系建设。区</w:t>
      </w:r>
      <w:r>
        <w:rPr>
          <w:rFonts w:ascii="仿宋" w:hAnsi="仿宋" w:eastAsia="仿宋"/>
          <w:sz w:val="32"/>
          <w:szCs w:val="32"/>
        </w:rPr>
        <w:t>委依法治</w:t>
      </w:r>
      <w:r>
        <w:rPr>
          <w:rFonts w:hint="eastAsia" w:ascii="仿宋" w:hAnsi="仿宋" w:eastAsia="仿宋"/>
          <w:sz w:val="32"/>
          <w:szCs w:val="32"/>
        </w:rPr>
        <w:t>区</w:t>
      </w:r>
      <w:r>
        <w:rPr>
          <w:rFonts w:ascii="仿宋" w:hAnsi="仿宋" w:eastAsia="仿宋"/>
          <w:sz w:val="32"/>
          <w:szCs w:val="32"/>
        </w:rPr>
        <w:t>办要加强对公共法律服务体系建设的统筹规划，在规划编制、政策衔接、标准制定、服务运行等方面进行整体设计、协调推进。</w:t>
      </w:r>
    </w:p>
    <w:p>
      <w:pPr>
        <w:ind w:firstLine="643" w:firstLineChars="200"/>
        <w:rPr>
          <w:rFonts w:ascii="仿宋" w:hAnsi="仿宋" w:eastAsia="仿宋"/>
          <w:sz w:val="32"/>
          <w:szCs w:val="32"/>
        </w:rPr>
      </w:pPr>
      <w:r>
        <w:rPr>
          <w:rFonts w:hint="eastAsia" w:ascii="楷体" w:hAnsi="楷体" w:eastAsia="楷体"/>
          <w:b/>
          <w:sz w:val="32"/>
          <w:szCs w:val="32"/>
        </w:rPr>
        <w:t>（二十三）</w:t>
      </w:r>
      <w:r>
        <w:rPr>
          <w:rFonts w:ascii="楷体" w:hAnsi="楷体" w:eastAsia="楷体"/>
          <w:b/>
          <w:sz w:val="32"/>
          <w:szCs w:val="32"/>
        </w:rPr>
        <w:t>加强基础保障</w:t>
      </w:r>
      <w:r>
        <w:rPr>
          <w:rFonts w:hint="eastAsia" w:ascii="楷体" w:hAnsi="楷体" w:eastAsia="楷体"/>
          <w:b/>
          <w:sz w:val="32"/>
          <w:szCs w:val="32"/>
        </w:rPr>
        <w:t>。</w:t>
      </w:r>
      <w:r>
        <w:rPr>
          <w:rFonts w:hint="eastAsia" w:ascii="仿宋" w:hAnsi="仿宋" w:eastAsia="仿宋"/>
          <w:sz w:val="32"/>
          <w:szCs w:val="32"/>
        </w:rPr>
        <w:t>健全完善与全区经济社会发展水平相适应的公共法律服务经费保障机制和动态增长机制，将人民调解经费、公共法律服务机构司法行政辅助人员经费和法律顾问经费纳入区财政保障范围。将基本公共法律服务事项纳入政府购买服务指导性目录，加大财政投入，逐步扩大购买公共法律服务的范围和规模。鼓励和引导社会资金参与公共法律服务体系建设。公共法律服务场所应利于业务开展和方便群众，所需场地可通过新建、改扩建、划拨、租赁等方式予以保障，所需设施设备应纳入业务装备保障范围。</w:t>
      </w:r>
    </w:p>
    <w:p>
      <w:pPr>
        <w:ind w:firstLine="643" w:firstLineChars="200"/>
        <w:rPr>
          <w:rFonts w:ascii="仿宋" w:hAnsi="仿宋" w:eastAsia="仿宋"/>
          <w:sz w:val="32"/>
          <w:szCs w:val="32"/>
        </w:rPr>
      </w:pPr>
      <w:r>
        <w:rPr>
          <w:rFonts w:hint="eastAsia" w:ascii="楷体" w:hAnsi="楷体" w:eastAsia="楷体"/>
          <w:b/>
          <w:sz w:val="32"/>
          <w:szCs w:val="32"/>
        </w:rPr>
        <w:t>（二十四）</w:t>
      </w:r>
      <w:r>
        <w:rPr>
          <w:rFonts w:ascii="楷体" w:hAnsi="楷体" w:eastAsia="楷体"/>
          <w:b/>
          <w:sz w:val="32"/>
          <w:szCs w:val="32"/>
        </w:rPr>
        <w:t>加强队伍建设</w:t>
      </w:r>
      <w:r>
        <w:rPr>
          <w:rFonts w:hint="eastAsia" w:ascii="楷体" w:hAnsi="楷体" w:eastAsia="楷体"/>
          <w:b/>
          <w:sz w:val="32"/>
          <w:szCs w:val="32"/>
        </w:rPr>
        <w:t>。</w:t>
      </w:r>
      <w:r>
        <w:rPr>
          <w:rFonts w:hint="eastAsia" w:ascii="仿宋" w:hAnsi="仿宋" w:eastAsia="仿宋"/>
          <w:sz w:val="32"/>
          <w:szCs w:val="32"/>
        </w:rPr>
        <w:t>持续推进公共法律服务人才队伍革命化、正规化、专业化、职业化建设。充分发挥行业协会、专业机构作用，创新公共法律服务人才培养模式。健全公共法律服务人才教育培训指导机制，定期开展政治轮训和业务培训，提高专业化水平。完善公共法律服务人才职称评定、人才引进、专业评价等政策，建立健全激励政策鼓励社会力量参与公共法律服务，促进人才队伍均衡发展。</w:t>
      </w:r>
    </w:p>
    <w:p>
      <w:pPr>
        <w:ind w:firstLine="643" w:firstLineChars="200"/>
        <w:rPr>
          <w:rFonts w:ascii="仿宋" w:hAnsi="仿宋" w:eastAsia="仿宋"/>
          <w:sz w:val="32"/>
          <w:szCs w:val="32"/>
        </w:rPr>
      </w:pPr>
      <w:r>
        <w:rPr>
          <w:rFonts w:hint="eastAsia" w:ascii="楷体" w:hAnsi="楷体" w:eastAsia="楷体"/>
          <w:b/>
          <w:sz w:val="32"/>
          <w:szCs w:val="32"/>
        </w:rPr>
        <w:t>（二十五）</w:t>
      </w:r>
      <w:r>
        <w:rPr>
          <w:rFonts w:ascii="楷体" w:hAnsi="楷体" w:eastAsia="楷体"/>
          <w:b/>
          <w:sz w:val="32"/>
          <w:szCs w:val="32"/>
        </w:rPr>
        <w:t>加强督查考核</w:t>
      </w:r>
      <w:r>
        <w:rPr>
          <w:rFonts w:hint="eastAsia" w:ascii="楷体" w:hAnsi="楷体" w:eastAsia="楷体"/>
          <w:b/>
          <w:sz w:val="32"/>
          <w:szCs w:val="32"/>
        </w:rPr>
        <w:t>。</w:t>
      </w:r>
      <w:r>
        <w:rPr>
          <w:rFonts w:hint="eastAsia" w:ascii="仿宋" w:hAnsi="仿宋" w:eastAsia="仿宋"/>
          <w:sz w:val="32"/>
          <w:szCs w:val="32"/>
        </w:rPr>
        <w:t>加强部门联动，做好风险隐患预警。将公共法律服务体系建设各项工作纳入依法治区、法治政府建设督察范围，综合运用提醒提示、年度考核、问责追责等多种手段，确保各项工作落地落实。探索第三方专业机构评价机制和服务对象评价机制的“双轨制评估”模式，提升全区公共法律服务体系建设规划实施效能。充分运用报刊、广播、电视、网络等媒体，采取多种形式强化对推进公共法律服务体系建设的宣传，全面提升人民群众对公共法律服务的知晓率、首选率、满意率。</w:t>
      </w:r>
    </w:p>
    <w:p>
      <w:pPr>
        <w:widowControl/>
        <w:jc w:val="left"/>
        <w:rPr>
          <w:rFonts w:ascii="仿宋" w:hAnsi="仿宋" w:eastAsia="仿宋"/>
          <w:sz w:val="32"/>
          <w:szCs w:val="32"/>
        </w:rPr>
      </w:pPr>
      <w:r>
        <w:rPr>
          <w:rFonts w:ascii="仿宋" w:hAnsi="仿宋" w:eastAsia="仿宋"/>
          <w:sz w:val="32"/>
          <w:szCs w:val="32"/>
        </w:rPr>
        <w:br w:type="page"/>
      </w:r>
    </w:p>
    <w:p>
      <w:pPr>
        <w:jc w:val="left"/>
        <w:rPr>
          <w:rFonts w:ascii="黑体" w:hAnsi="黑体" w:eastAsia="黑体"/>
          <w:sz w:val="32"/>
          <w:szCs w:val="32"/>
        </w:rPr>
      </w:pPr>
      <w:r>
        <w:rPr>
          <w:rFonts w:hint="eastAsia" w:ascii="黑体" w:hAnsi="黑体" w:eastAsia="黑体"/>
          <w:sz w:val="32"/>
          <w:szCs w:val="32"/>
        </w:rPr>
        <w:t>附件：</w:t>
      </w:r>
    </w:p>
    <w:p>
      <w:pPr>
        <w:jc w:val="center"/>
        <w:rPr>
          <w:rFonts w:ascii="黑体" w:hAnsi="黑体" w:eastAsia="黑体"/>
          <w:sz w:val="32"/>
          <w:szCs w:val="32"/>
        </w:rPr>
      </w:pPr>
      <w:r>
        <w:rPr>
          <w:rFonts w:hint="eastAsia" w:ascii="黑体" w:hAnsi="黑体" w:eastAsia="黑体"/>
          <w:sz w:val="32"/>
          <w:szCs w:val="32"/>
        </w:rPr>
        <w:t>松江区</w:t>
      </w:r>
      <w:r>
        <w:rPr>
          <w:rFonts w:ascii="黑体" w:hAnsi="黑体" w:eastAsia="黑体"/>
          <w:sz w:val="32"/>
          <w:szCs w:val="32"/>
        </w:rPr>
        <w:t>公共法律服务体系建设主要发展指标</w:t>
      </w:r>
    </w:p>
    <w:p>
      <w:pPr>
        <w:jc w:val="center"/>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023-2025</w:t>
      </w:r>
      <w:r>
        <w:rPr>
          <w:rFonts w:hint="eastAsia" w:ascii="黑体" w:hAnsi="黑体" w:eastAsia="黑体"/>
          <w:sz w:val="32"/>
          <w:szCs w:val="32"/>
        </w:rPr>
        <w:t>）</w:t>
      </w:r>
    </w:p>
    <w:p>
      <w:pPr>
        <w:jc w:val="center"/>
        <w:rPr>
          <w:rFonts w:ascii="楷体" w:hAnsi="楷体" w:eastAsia="楷体"/>
          <w:b/>
          <w:sz w:val="32"/>
          <w:szCs w:val="32"/>
        </w:rPr>
      </w:pPr>
    </w:p>
    <w:tbl>
      <w:tblPr>
        <w:tblStyle w:val="7"/>
        <w:tblW w:w="830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63"/>
        <w:gridCol w:w="1030"/>
        <w:gridCol w:w="3544"/>
        <w:gridCol w:w="888"/>
        <w:gridCol w:w="1046"/>
        <w:gridCol w:w="11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黑体" w:hAnsi="黑体" w:eastAsia="黑体"/>
                <w:sz w:val="24"/>
                <w:szCs w:val="24"/>
              </w:rPr>
            </w:pPr>
            <w:r>
              <w:rPr>
                <w:rFonts w:ascii="黑体" w:hAnsi="黑体" w:eastAsia="黑体"/>
                <w:sz w:val="24"/>
                <w:szCs w:val="24"/>
              </w:rPr>
              <w:t>序号</w:t>
            </w:r>
          </w:p>
        </w:tc>
        <w:tc>
          <w:tcPr>
            <w:tcW w:w="1030"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黑体" w:hAnsi="黑体" w:eastAsia="黑体"/>
                <w:sz w:val="24"/>
                <w:szCs w:val="24"/>
              </w:rPr>
            </w:pPr>
            <w:r>
              <w:rPr>
                <w:rFonts w:hint="eastAsia" w:ascii="黑体" w:hAnsi="黑体" w:eastAsia="黑体"/>
                <w:sz w:val="24"/>
                <w:szCs w:val="24"/>
              </w:rPr>
              <w:t>类别</w:t>
            </w: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黑体" w:hAnsi="黑体" w:eastAsia="黑体"/>
                <w:sz w:val="24"/>
                <w:szCs w:val="24"/>
              </w:rPr>
            </w:pPr>
            <w:r>
              <w:rPr>
                <w:rFonts w:hint="eastAsia" w:ascii="黑体" w:hAnsi="黑体" w:eastAsia="黑体"/>
                <w:sz w:val="24"/>
                <w:szCs w:val="24"/>
              </w:rPr>
              <w:t>指标名称</w:t>
            </w:r>
          </w:p>
          <w:p>
            <w:pPr>
              <w:spacing w:line="300" w:lineRule="exact"/>
              <w:jc w:val="center"/>
              <w:rPr>
                <w:rFonts w:ascii="黑体" w:hAnsi="黑体" w:eastAsia="黑体"/>
                <w:sz w:val="24"/>
                <w:szCs w:val="24"/>
              </w:rPr>
            </w:pPr>
            <w:r>
              <w:rPr>
                <w:rFonts w:ascii="黑体" w:hAnsi="黑体" w:eastAsia="黑体"/>
                <w:sz w:val="24"/>
                <w:szCs w:val="24"/>
              </w:rPr>
              <w:t>（</w:t>
            </w:r>
            <w:r>
              <w:rPr>
                <w:rFonts w:hint="eastAsia" w:ascii="黑体" w:hAnsi="黑体" w:eastAsia="黑体"/>
                <w:sz w:val="24"/>
                <w:szCs w:val="24"/>
              </w:rPr>
              <w:t>共</w:t>
            </w:r>
            <w:r>
              <w:rPr>
                <w:rFonts w:ascii="黑体" w:hAnsi="黑体" w:eastAsia="黑体"/>
                <w:sz w:val="24"/>
                <w:szCs w:val="24"/>
              </w:rPr>
              <w:t>26</w:t>
            </w:r>
            <w:r>
              <w:rPr>
                <w:rFonts w:hint="eastAsia" w:ascii="黑体" w:hAnsi="黑体" w:eastAsia="黑体"/>
                <w:sz w:val="24"/>
                <w:szCs w:val="24"/>
              </w:rPr>
              <w:t>项</w:t>
            </w:r>
            <w:r>
              <w:rPr>
                <w:rFonts w:ascii="黑体" w:hAnsi="黑体" w:eastAsia="黑体"/>
                <w:sz w:val="24"/>
                <w:szCs w:val="24"/>
              </w:rPr>
              <w:t>）</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黑体" w:hAnsi="黑体" w:eastAsia="黑体"/>
                <w:sz w:val="24"/>
                <w:szCs w:val="24"/>
              </w:rPr>
            </w:pPr>
            <w:r>
              <w:rPr>
                <w:rFonts w:hint="eastAsia" w:ascii="黑体" w:hAnsi="黑体" w:eastAsia="黑体"/>
                <w:sz w:val="24"/>
                <w:szCs w:val="24"/>
              </w:rPr>
              <w:t>单位</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黑体" w:hAnsi="黑体" w:eastAsia="黑体"/>
                <w:sz w:val="24"/>
                <w:szCs w:val="24"/>
              </w:rPr>
            </w:pPr>
            <w:r>
              <w:rPr>
                <w:rFonts w:hint="eastAsia" w:ascii="黑体" w:hAnsi="黑体" w:eastAsia="黑体"/>
                <w:sz w:val="24"/>
                <w:szCs w:val="24"/>
              </w:rPr>
              <w:t>目标</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黑体" w:hAnsi="黑体" w:eastAsia="黑体"/>
                <w:sz w:val="24"/>
                <w:szCs w:val="24"/>
              </w:rPr>
            </w:pPr>
            <w:r>
              <w:rPr>
                <w:rFonts w:ascii="黑体" w:hAnsi="黑体" w:eastAsia="黑体"/>
                <w:sz w:val="24"/>
                <w:szCs w:val="24"/>
              </w:rPr>
              <w:t>指标性质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1</w:t>
            </w:r>
          </w:p>
        </w:tc>
        <w:tc>
          <w:tcPr>
            <w:tcW w:w="1030" w:type="dxa"/>
            <w:vMerge w:val="restart"/>
            <w:tcBorders>
              <w:top w:val="single" w:color="333333" w:sz="6" w:space="0"/>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普法</w:t>
            </w: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hint="eastAsia" w:ascii="仿宋" w:hAnsi="仿宋" w:eastAsia="仿宋"/>
                <w:sz w:val="24"/>
                <w:szCs w:val="24"/>
              </w:rPr>
              <w:t>具有较高知名度和较强影响力的区级社会主义法治文化品牌阵地</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个</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2</w:t>
            </w:r>
          </w:p>
        </w:tc>
        <w:tc>
          <w:tcPr>
            <w:tcW w:w="1030" w:type="dxa"/>
            <w:vMerge w:val="continue"/>
            <w:tcBorders>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hint="eastAsia" w:ascii="仿宋" w:hAnsi="仿宋" w:eastAsia="仿宋"/>
                <w:sz w:val="24"/>
                <w:szCs w:val="24"/>
              </w:rPr>
              <w:t xml:space="preserve">区级社会主义法治文化品牌活动 </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个</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15</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3</w:t>
            </w:r>
          </w:p>
        </w:tc>
        <w:tc>
          <w:tcPr>
            <w:tcW w:w="1030" w:type="dxa"/>
            <w:vMerge w:val="continue"/>
            <w:tcBorders>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hint="eastAsia" w:ascii="仿宋" w:hAnsi="仿宋" w:eastAsia="仿宋"/>
                <w:sz w:val="24"/>
                <w:szCs w:val="24"/>
              </w:rPr>
              <w:t>每个村（社区）法治文化微阵地</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个</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≥1</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4</w:t>
            </w:r>
          </w:p>
        </w:tc>
        <w:tc>
          <w:tcPr>
            <w:tcW w:w="1030" w:type="dxa"/>
            <w:vMerge w:val="restart"/>
            <w:tcBorders>
              <w:top w:val="single" w:color="333333" w:sz="6" w:space="0"/>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律师</w:t>
            </w: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hint="eastAsia" w:ascii="仿宋" w:hAnsi="仿宋" w:eastAsia="仿宋"/>
                <w:sz w:val="24"/>
                <w:szCs w:val="24"/>
              </w:rPr>
              <w:t>全区律师数量</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名</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300</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5</w:t>
            </w:r>
          </w:p>
        </w:tc>
        <w:tc>
          <w:tcPr>
            <w:tcW w:w="1030" w:type="dxa"/>
            <w:vMerge w:val="continue"/>
            <w:tcBorders>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hint="eastAsia" w:ascii="仿宋" w:hAnsi="仿宋" w:eastAsia="仿宋"/>
                <w:sz w:val="24"/>
                <w:szCs w:val="24"/>
              </w:rPr>
              <w:t>每万人拥有律师数量</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名</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color w:val="FF0000"/>
                <w:sz w:val="24"/>
                <w:szCs w:val="24"/>
              </w:rPr>
            </w:pPr>
          </w:p>
          <w:p>
            <w:pPr>
              <w:spacing w:line="300" w:lineRule="exact"/>
              <w:jc w:val="center"/>
              <w:rPr>
                <w:rFonts w:ascii="仿宋" w:hAnsi="仿宋" w:eastAsia="仿宋"/>
                <w:color w:val="FF0000"/>
                <w:sz w:val="24"/>
                <w:szCs w:val="24"/>
              </w:rPr>
            </w:pPr>
            <w:r>
              <w:rPr>
                <w:rFonts w:ascii="仿宋" w:hAnsi="仿宋" w:eastAsia="仿宋"/>
                <w:color w:val="FF0000"/>
                <w:sz w:val="24"/>
                <w:szCs w:val="24"/>
              </w:rPr>
              <w:t>7</w:t>
            </w:r>
          </w:p>
          <w:p>
            <w:pPr>
              <w:spacing w:line="300" w:lineRule="exact"/>
              <w:jc w:val="center"/>
              <w:rPr>
                <w:rFonts w:ascii="仿宋" w:hAnsi="仿宋" w:eastAsia="仿宋"/>
                <w:sz w:val="24"/>
                <w:szCs w:val="24"/>
              </w:rPr>
            </w:pP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6</w:t>
            </w:r>
          </w:p>
        </w:tc>
        <w:tc>
          <w:tcPr>
            <w:tcW w:w="1030" w:type="dxa"/>
            <w:vMerge w:val="continue"/>
            <w:tcBorders>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hint="eastAsia" w:ascii="仿宋" w:hAnsi="仿宋" w:eastAsia="仿宋"/>
                <w:sz w:val="24"/>
                <w:szCs w:val="24"/>
              </w:rPr>
              <w:t>大中型律所数量（50 名律师以上）</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家</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7</w:t>
            </w:r>
          </w:p>
        </w:tc>
        <w:tc>
          <w:tcPr>
            <w:tcW w:w="1030" w:type="dxa"/>
            <w:vMerge w:val="continue"/>
            <w:tcBorders>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hint="eastAsia" w:ascii="仿宋" w:hAnsi="仿宋" w:eastAsia="仿宋"/>
                <w:sz w:val="24"/>
                <w:szCs w:val="24"/>
              </w:rPr>
              <w:t>100名律师以上的律师事务所数量</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家</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2</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8</w:t>
            </w:r>
          </w:p>
        </w:tc>
        <w:tc>
          <w:tcPr>
            <w:tcW w:w="1030" w:type="dxa"/>
            <w:vMerge w:val="continue"/>
            <w:tcBorders>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hint="eastAsia" w:ascii="仿宋" w:hAnsi="仿宋" w:eastAsia="仿宋"/>
                <w:sz w:val="24"/>
                <w:szCs w:val="24"/>
              </w:rPr>
              <w:t>律所境外分支机构数量</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家</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9</w:t>
            </w:r>
          </w:p>
        </w:tc>
        <w:tc>
          <w:tcPr>
            <w:tcW w:w="1030" w:type="dxa"/>
            <w:vMerge w:val="continue"/>
            <w:tcBorders>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hint="eastAsia" w:ascii="仿宋" w:hAnsi="仿宋" w:eastAsia="仿宋"/>
                <w:sz w:val="24"/>
                <w:szCs w:val="24"/>
              </w:rPr>
              <w:t>公职律师数量</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名</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200</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10</w:t>
            </w:r>
          </w:p>
        </w:tc>
        <w:tc>
          <w:tcPr>
            <w:tcW w:w="1030" w:type="dxa"/>
            <w:vMerge w:val="continue"/>
            <w:tcBorders>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hint="eastAsia" w:ascii="仿宋" w:hAnsi="仿宋" w:eastAsia="仿宋"/>
                <w:sz w:val="24"/>
                <w:szCs w:val="24"/>
              </w:rPr>
              <w:t>公司律师数量</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名</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0</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11</w:t>
            </w:r>
          </w:p>
        </w:tc>
        <w:tc>
          <w:tcPr>
            <w:tcW w:w="1030"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法律顾问</w:t>
            </w: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hint="eastAsia" w:ascii="仿宋" w:hAnsi="仿宋" w:eastAsia="仿宋"/>
                <w:sz w:val="24"/>
                <w:szCs w:val="24"/>
              </w:rPr>
              <w:t>各级党政机关聘请法律顾问数量</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名</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0</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12</w:t>
            </w:r>
          </w:p>
        </w:tc>
        <w:tc>
          <w:tcPr>
            <w:tcW w:w="1030" w:type="dxa"/>
            <w:vMerge w:val="restart"/>
            <w:tcBorders>
              <w:top w:val="single" w:color="333333" w:sz="6" w:space="0"/>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公证</w:t>
            </w: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hint="eastAsia" w:ascii="仿宋" w:hAnsi="仿宋" w:eastAsia="仿宋"/>
                <w:sz w:val="24"/>
                <w:szCs w:val="24"/>
              </w:rPr>
              <w:t>公证员数量</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名</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13</w:t>
            </w:r>
          </w:p>
        </w:tc>
        <w:tc>
          <w:tcPr>
            <w:tcW w:w="1030" w:type="dxa"/>
            <w:vMerge w:val="continue"/>
            <w:tcBorders>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hint="eastAsia" w:ascii="仿宋" w:hAnsi="仿宋" w:eastAsia="仿宋"/>
                <w:sz w:val="24"/>
                <w:szCs w:val="24"/>
              </w:rPr>
              <w:t>公证文书年度质量检查合格率</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&gt;9</w:t>
            </w:r>
            <w:r>
              <w:rPr>
                <w:rFonts w:ascii="仿宋" w:hAnsi="仿宋" w:eastAsia="仿宋"/>
                <w:sz w:val="24"/>
                <w:szCs w:val="24"/>
              </w:rPr>
              <w:t>9</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14</w:t>
            </w:r>
          </w:p>
        </w:tc>
        <w:tc>
          <w:tcPr>
            <w:tcW w:w="1030"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公证</w:t>
            </w: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hint="eastAsia" w:ascii="仿宋" w:hAnsi="仿宋" w:eastAsia="仿宋"/>
                <w:sz w:val="24"/>
                <w:szCs w:val="24"/>
              </w:rPr>
              <w:t>参与“一次都不跑”公证机构数量</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家</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≥1</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15</w:t>
            </w:r>
          </w:p>
        </w:tc>
        <w:tc>
          <w:tcPr>
            <w:tcW w:w="1030" w:type="dxa"/>
            <w:vMerge w:val="restart"/>
            <w:tcBorders>
              <w:top w:val="single" w:color="333333" w:sz="6" w:space="0"/>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矛盾化解</w:t>
            </w: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ascii="仿宋" w:hAnsi="仿宋" w:eastAsia="仿宋"/>
                <w:sz w:val="24"/>
                <w:szCs w:val="24"/>
              </w:rPr>
              <w:t>行业性专业性人民调解成功率</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&gt;8</w:t>
            </w:r>
            <w:r>
              <w:rPr>
                <w:rFonts w:ascii="仿宋" w:hAnsi="仿宋" w:eastAsia="仿宋"/>
                <w:sz w:val="24"/>
                <w:szCs w:val="24"/>
              </w:rPr>
              <w:t>8</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16</w:t>
            </w:r>
          </w:p>
        </w:tc>
        <w:tc>
          <w:tcPr>
            <w:tcW w:w="1030" w:type="dxa"/>
            <w:vMerge w:val="continue"/>
            <w:tcBorders>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ascii="仿宋" w:hAnsi="仿宋" w:eastAsia="仿宋"/>
                <w:sz w:val="24"/>
                <w:szCs w:val="24"/>
              </w:rPr>
              <w:t>传统类人民调解成功率</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&gt;9</w:t>
            </w:r>
            <w:r>
              <w:rPr>
                <w:rFonts w:ascii="仿宋" w:hAnsi="仿宋" w:eastAsia="仿宋"/>
                <w:sz w:val="24"/>
                <w:szCs w:val="24"/>
              </w:rPr>
              <w:t>8</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17</w:t>
            </w:r>
          </w:p>
        </w:tc>
        <w:tc>
          <w:tcPr>
            <w:tcW w:w="1030" w:type="dxa"/>
            <w:vMerge w:val="continue"/>
            <w:tcBorders>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ascii="仿宋" w:hAnsi="仿宋" w:eastAsia="仿宋"/>
                <w:sz w:val="24"/>
                <w:szCs w:val="24"/>
              </w:rPr>
              <w:t>人民调解协议履行率</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00</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18</w:t>
            </w:r>
          </w:p>
        </w:tc>
        <w:tc>
          <w:tcPr>
            <w:tcW w:w="1030" w:type="dxa"/>
            <w:vMerge w:val="continue"/>
            <w:tcBorders>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ascii="仿宋" w:hAnsi="仿宋" w:eastAsia="仿宋"/>
                <w:sz w:val="24"/>
                <w:szCs w:val="24"/>
              </w:rPr>
              <w:t>行业性专业性人民调解组织数量</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个</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20</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19</w:t>
            </w:r>
          </w:p>
        </w:tc>
        <w:tc>
          <w:tcPr>
            <w:tcW w:w="1030" w:type="dxa"/>
            <w:vMerge w:val="continue"/>
            <w:tcBorders>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ascii="仿宋" w:hAnsi="仿宋" w:eastAsia="仿宋"/>
                <w:sz w:val="24"/>
                <w:szCs w:val="24"/>
              </w:rPr>
              <w:t>专职人民调解员数量</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名</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500</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20</w:t>
            </w:r>
          </w:p>
        </w:tc>
        <w:tc>
          <w:tcPr>
            <w:tcW w:w="1030" w:type="dxa"/>
            <w:vMerge w:val="restart"/>
            <w:tcBorders>
              <w:top w:val="single" w:color="333333" w:sz="6" w:space="0"/>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法律援助</w:t>
            </w: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ascii="仿宋" w:hAnsi="仿宋" w:eastAsia="仿宋"/>
                <w:sz w:val="24"/>
                <w:szCs w:val="24"/>
              </w:rPr>
              <w:t>办理法律援助案件数量</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件</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000</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jc w:val="cente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50"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21</w:t>
            </w:r>
          </w:p>
        </w:tc>
        <w:tc>
          <w:tcPr>
            <w:tcW w:w="1030" w:type="dxa"/>
            <w:vMerge w:val="continue"/>
            <w:tcBorders>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ascii="仿宋" w:hAnsi="仿宋" w:eastAsia="仿宋"/>
                <w:sz w:val="24"/>
                <w:szCs w:val="24"/>
              </w:rPr>
              <w:t>对符合条件的犯罪嫌疑人、被告人，值班律师提供法律帮助的覆盖率</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ascii="仿宋" w:hAnsi="仿宋" w:eastAsia="仿宋"/>
                <w:sz w:val="24"/>
                <w:szCs w:val="24"/>
              </w:rPr>
            </w:pPr>
            <w:r>
              <w:rPr>
                <w:rFonts w:ascii="仿宋" w:hAnsi="仿宋" w:eastAsia="仿宋"/>
                <w:sz w:val="24"/>
                <w:szCs w:val="24"/>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80"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22</w:t>
            </w:r>
          </w:p>
        </w:tc>
        <w:tc>
          <w:tcPr>
            <w:tcW w:w="1030" w:type="dxa"/>
            <w:vMerge w:val="continue"/>
            <w:tcBorders>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ascii="仿宋" w:hAnsi="仿宋" w:eastAsia="仿宋"/>
                <w:sz w:val="24"/>
                <w:szCs w:val="24"/>
              </w:rPr>
              <w:t>对符合通知辩护条件的犯罪嫌疑 人、被告人，法律援助机构指派律 师提供辩护的比例</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00</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ascii="仿宋" w:hAnsi="仿宋" w:eastAsia="仿宋"/>
                <w:sz w:val="24"/>
                <w:szCs w:val="24"/>
              </w:rPr>
            </w:pPr>
            <w:r>
              <w:rPr>
                <w:rFonts w:ascii="仿宋" w:hAnsi="仿宋" w:eastAsia="仿宋"/>
                <w:sz w:val="24"/>
                <w:szCs w:val="24"/>
              </w:rPr>
              <w:t>约束性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23</w:t>
            </w:r>
          </w:p>
        </w:tc>
        <w:tc>
          <w:tcPr>
            <w:tcW w:w="1030" w:type="dxa"/>
            <w:vMerge w:val="continue"/>
            <w:tcBorders>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ascii="仿宋" w:hAnsi="仿宋" w:eastAsia="仿宋"/>
                <w:sz w:val="24"/>
                <w:szCs w:val="24"/>
              </w:rPr>
              <w:t>律师承办法律援助案件量占法律援助案件总量比例</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00</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w:t>
            </w:r>
          </w:p>
        </w:tc>
        <w:tc>
          <w:tcPr>
            <w:tcW w:w="1030" w:type="dxa"/>
            <w:vMerge w:val="continue"/>
            <w:tcBorders>
              <w:left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ascii="仿宋" w:hAnsi="仿宋" w:eastAsia="仿宋"/>
                <w:sz w:val="24"/>
                <w:szCs w:val="24"/>
              </w:rPr>
              <w:t>法律援助案件群众满意率</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5</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w:t>
            </w:r>
          </w:p>
        </w:tc>
        <w:tc>
          <w:tcPr>
            <w:tcW w:w="1030" w:type="dxa"/>
            <w:vMerge w:val="continue"/>
            <w:tcBorders>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ascii="仿宋" w:hAnsi="仿宋" w:eastAsia="仿宋"/>
                <w:sz w:val="24"/>
                <w:szCs w:val="24"/>
              </w:rPr>
              <w:t>每十万人提供法律援助数量</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件</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80</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49" w:hRule="exact"/>
          <w:jc w:val="center"/>
        </w:trPr>
        <w:tc>
          <w:tcPr>
            <w:tcW w:w="663"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6</w:t>
            </w:r>
          </w:p>
        </w:tc>
        <w:tc>
          <w:tcPr>
            <w:tcW w:w="1030"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公共法 律服务 平台</w:t>
            </w:r>
          </w:p>
        </w:tc>
        <w:tc>
          <w:tcPr>
            <w:tcW w:w="3544"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rPr>
                <w:rFonts w:ascii="仿宋" w:hAnsi="仿宋" w:eastAsia="仿宋"/>
                <w:sz w:val="24"/>
                <w:szCs w:val="24"/>
              </w:rPr>
            </w:pPr>
            <w:r>
              <w:rPr>
                <w:rFonts w:ascii="仿宋" w:hAnsi="仿宋" w:eastAsia="仿宋"/>
                <w:sz w:val="24"/>
                <w:szCs w:val="24"/>
              </w:rPr>
              <w:t>12348法律服务热线咨询即时评价 满意率</w:t>
            </w:r>
          </w:p>
        </w:tc>
        <w:tc>
          <w:tcPr>
            <w:tcW w:w="888"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ascii="仿宋" w:hAnsi="仿宋" w:eastAsia="仿宋"/>
                <w:sz w:val="24"/>
                <w:szCs w:val="24"/>
              </w:rPr>
              <w:t>%</w:t>
            </w:r>
          </w:p>
        </w:tc>
        <w:tc>
          <w:tcPr>
            <w:tcW w:w="1046" w:type="dxa"/>
            <w:tcBorders>
              <w:top w:val="single" w:color="333333" w:sz="6" w:space="0"/>
              <w:left w:val="single" w:color="333333" w:sz="6" w:space="0"/>
              <w:bottom w:val="single" w:color="333333" w:sz="6" w:space="0"/>
              <w:right w:val="single" w:color="333333" w:sz="6" w:space="0"/>
            </w:tcBorders>
            <w:shd w:val="clear" w:color="auto" w:fill="FFFFFF"/>
            <w:vAlign w:val="center"/>
          </w:tcPr>
          <w:p>
            <w:pPr>
              <w:spacing w:line="300" w:lineRule="exact"/>
              <w:jc w:val="center"/>
              <w:rPr>
                <w:rFonts w:ascii="仿宋" w:hAnsi="仿宋" w:eastAsia="仿宋"/>
                <w:sz w:val="24"/>
                <w:szCs w:val="24"/>
              </w:rPr>
            </w:pPr>
            <w:r>
              <w:rPr>
                <w:rFonts w:hint="eastAsia" w:ascii="仿宋" w:hAnsi="仿宋" w:eastAsia="仿宋"/>
                <w:sz w:val="24"/>
                <w:szCs w:val="24"/>
              </w:rPr>
              <w:t>&gt;9</w:t>
            </w:r>
            <w:r>
              <w:rPr>
                <w:rFonts w:ascii="仿宋" w:hAnsi="仿宋" w:eastAsia="仿宋"/>
                <w:sz w:val="24"/>
                <w:szCs w:val="24"/>
              </w:rPr>
              <w:t>8</w:t>
            </w:r>
          </w:p>
        </w:tc>
        <w:tc>
          <w:tcPr>
            <w:tcW w:w="1134" w:type="dxa"/>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ascii="仿宋" w:hAnsi="仿宋" w:eastAsia="仿宋"/>
                <w:sz w:val="24"/>
                <w:szCs w:val="24"/>
              </w:rPr>
            </w:pPr>
            <w:r>
              <w:rPr>
                <w:rFonts w:ascii="仿宋" w:hAnsi="仿宋" w:eastAsia="仿宋"/>
                <w:sz w:val="24"/>
                <w:szCs w:val="24"/>
              </w:rPr>
              <w:t>预期性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15" w:hRule="atLeast"/>
          <w:jc w:val="center"/>
        </w:trPr>
        <w:tc>
          <w:tcPr>
            <w:tcW w:w="8305" w:type="dxa"/>
            <w:gridSpan w:val="6"/>
            <w:tcBorders>
              <w:top w:val="single" w:color="333333" w:sz="6" w:space="0"/>
              <w:left w:val="single" w:color="333333" w:sz="6" w:space="0"/>
              <w:right w:val="single" w:color="333333" w:sz="6" w:space="0"/>
            </w:tcBorders>
            <w:shd w:val="clear" w:color="auto" w:fill="FFFFFF"/>
            <w:vAlign w:val="center"/>
          </w:tcPr>
          <w:p>
            <w:pPr>
              <w:rPr>
                <w:rFonts w:ascii="仿宋" w:hAnsi="仿宋" w:eastAsia="仿宋"/>
                <w:sz w:val="24"/>
                <w:szCs w:val="24"/>
              </w:rPr>
            </w:pPr>
            <w:r>
              <w:rPr>
                <w:rFonts w:hint="eastAsia" w:ascii="仿宋" w:hAnsi="仿宋" w:eastAsia="仿宋"/>
                <w:sz w:val="24"/>
                <w:szCs w:val="24"/>
              </w:rPr>
              <w:t>备注：以上指标设置在参照《上海司法行政“十四五”时期公共法律服务体系建设主要指标》的基础上，本着实事求是和具实操性的精神，按照松江实际和发展趋势，对有关目标进行了较大调整，如每万人拥有律师数量，我市指标预期是1</w:t>
            </w:r>
            <w:r>
              <w:rPr>
                <w:rFonts w:ascii="仿宋" w:hAnsi="仿宋" w:eastAsia="仿宋"/>
                <w:sz w:val="24"/>
                <w:szCs w:val="24"/>
              </w:rPr>
              <w:t>5</w:t>
            </w:r>
            <w:r>
              <w:rPr>
                <w:rFonts w:hint="eastAsia" w:ascii="仿宋" w:hAnsi="仿宋" w:eastAsia="仿宋"/>
                <w:sz w:val="24"/>
                <w:szCs w:val="24"/>
              </w:rPr>
              <w:t>名，松江则预期7名，明显低于市指标；</w:t>
            </w:r>
            <w:r>
              <w:rPr>
                <w:rFonts w:ascii="仿宋" w:hAnsi="仿宋" w:eastAsia="仿宋"/>
                <w:sz w:val="24"/>
                <w:szCs w:val="24"/>
              </w:rPr>
              <w:t>每十万人提供法律援助数量</w:t>
            </w:r>
            <w:r>
              <w:rPr>
                <w:rFonts w:hint="eastAsia" w:ascii="仿宋" w:hAnsi="仿宋" w:eastAsia="仿宋"/>
                <w:sz w:val="24"/>
                <w:szCs w:val="24"/>
              </w:rPr>
              <w:t>，我市指标预期是1</w:t>
            </w:r>
            <w:r>
              <w:rPr>
                <w:rFonts w:ascii="仿宋" w:hAnsi="仿宋" w:eastAsia="仿宋"/>
                <w:sz w:val="24"/>
                <w:szCs w:val="24"/>
              </w:rPr>
              <w:t>50</w:t>
            </w:r>
            <w:r>
              <w:rPr>
                <w:rFonts w:hint="eastAsia" w:ascii="仿宋" w:hAnsi="仿宋" w:eastAsia="仿宋"/>
                <w:sz w:val="24"/>
                <w:szCs w:val="24"/>
              </w:rPr>
              <w:t>件，松江则预期是1</w:t>
            </w:r>
            <w:r>
              <w:rPr>
                <w:rFonts w:ascii="仿宋" w:hAnsi="仿宋" w:eastAsia="仿宋"/>
                <w:sz w:val="24"/>
                <w:szCs w:val="24"/>
              </w:rPr>
              <w:t>80</w:t>
            </w:r>
            <w:r>
              <w:rPr>
                <w:rFonts w:hint="eastAsia" w:ascii="仿宋" w:hAnsi="仿宋" w:eastAsia="仿宋"/>
                <w:sz w:val="24"/>
                <w:szCs w:val="24"/>
              </w:rPr>
              <w:t>件，显著高于市指标。总体而言，所有指标对松江而言，均需更加努力方能达到，故设置是否合理可行仍需各方探讨。</w:t>
            </w:r>
          </w:p>
        </w:tc>
      </w:tr>
    </w:tbl>
    <w:p>
      <w:pPr>
        <w:rPr>
          <w:sz w:val="32"/>
          <w:szCs w:val="32"/>
        </w:rPr>
      </w:pPr>
    </w:p>
    <w:sectPr>
      <w:footerReference r:id="rId4" w:type="default"/>
      <w:pgSz w:w="11906" w:h="16838"/>
      <w:pgMar w:top="1440" w:right="1800" w:bottom="1135" w:left="1800" w:header="851" w:footer="47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大标宋简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EUDC">
    <w:panose1 w:val="02010600030101010101"/>
    <w:charset w:val="86"/>
    <w:family w:val="auto"/>
    <w:pitch w:val="default"/>
    <w:sig w:usb0="00000003" w:usb1="080E0031"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5777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5"/>
      </w:pPr>
      <w:r>
        <w:rPr>
          <w:rStyle w:val="9"/>
        </w:rPr>
        <w:footnoteRef/>
      </w:r>
      <w:r>
        <w:t>“一廊一轴两核”</w:t>
      </w:r>
      <w:r>
        <w:rPr>
          <w:rFonts w:hint="eastAsia"/>
        </w:rPr>
        <w:t>：</w:t>
      </w:r>
      <w:r>
        <w:t>“一廊”即长三角G60科创走廊；一轴即城乡统筹发展轴；两核即“松江枢纽”核心功能区 和双城融合核心功能区。</w:t>
      </w:r>
    </w:p>
  </w:footnote>
  <w:footnote w:id="1">
    <w:p>
      <w:pPr>
        <w:pStyle w:val="5"/>
      </w:pPr>
      <w:r>
        <w:rPr>
          <w:rStyle w:val="9"/>
        </w:rPr>
        <w:footnoteRef/>
      </w:r>
      <w:r>
        <w:t xml:space="preserve"> “一高地、三生态”：“一高地”即新兴产业高地；“三生态”即充满活力的产业创新生态、高效便捷的政务服务生态、众人青睐的人才发展生态。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C0"/>
    <w:rsid w:val="00016A3D"/>
    <w:rsid w:val="00027C2D"/>
    <w:rsid w:val="0003398D"/>
    <w:rsid w:val="00041EAB"/>
    <w:rsid w:val="00051E2A"/>
    <w:rsid w:val="00055827"/>
    <w:rsid w:val="00063884"/>
    <w:rsid w:val="00067806"/>
    <w:rsid w:val="00071985"/>
    <w:rsid w:val="00075295"/>
    <w:rsid w:val="00077228"/>
    <w:rsid w:val="000844A9"/>
    <w:rsid w:val="0008788F"/>
    <w:rsid w:val="0009759E"/>
    <w:rsid w:val="000A59F8"/>
    <w:rsid w:val="000C30F9"/>
    <w:rsid w:val="000C5210"/>
    <w:rsid w:val="000D784A"/>
    <w:rsid w:val="000E247B"/>
    <w:rsid w:val="000E2A3C"/>
    <w:rsid w:val="000F6255"/>
    <w:rsid w:val="00103B12"/>
    <w:rsid w:val="00106E33"/>
    <w:rsid w:val="00110060"/>
    <w:rsid w:val="00115E2E"/>
    <w:rsid w:val="001364E8"/>
    <w:rsid w:val="001456C0"/>
    <w:rsid w:val="00151A32"/>
    <w:rsid w:val="00154AC2"/>
    <w:rsid w:val="00165A13"/>
    <w:rsid w:val="00197C15"/>
    <w:rsid w:val="001E37D2"/>
    <w:rsid w:val="001F29DC"/>
    <w:rsid w:val="001F6680"/>
    <w:rsid w:val="00202B23"/>
    <w:rsid w:val="00217FB6"/>
    <w:rsid w:val="00220B5B"/>
    <w:rsid w:val="00230B9C"/>
    <w:rsid w:val="002349E4"/>
    <w:rsid w:val="0023525E"/>
    <w:rsid w:val="0024554F"/>
    <w:rsid w:val="00246ABC"/>
    <w:rsid w:val="002472E1"/>
    <w:rsid w:val="002513F1"/>
    <w:rsid w:val="0027309D"/>
    <w:rsid w:val="00283BD5"/>
    <w:rsid w:val="002859F0"/>
    <w:rsid w:val="00293581"/>
    <w:rsid w:val="002A1E58"/>
    <w:rsid w:val="002A2FAB"/>
    <w:rsid w:val="002F10EA"/>
    <w:rsid w:val="002F5568"/>
    <w:rsid w:val="00302CB7"/>
    <w:rsid w:val="00312221"/>
    <w:rsid w:val="00346904"/>
    <w:rsid w:val="0036014F"/>
    <w:rsid w:val="003633F5"/>
    <w:rsid w:val="00364BF3"/>
    <w:rsid w:val="00367300"/>
    <w:rsid w:val="00391CC5"/>
    <w:rsid w:val="003D5563"/>
    <w:rsid w:val="003F0812"/>
    <w:rsid w:val="00400608"/>
    <w:rsid w:val="00410AC5"/>
    <w:rsid w:val="0041230A"/>
    <w:rsid w:val="0042084F"/>
    <w:rsid w:val="00420A35"/>
    <w:rsid w:val="0044484E"/>
    <w:rsid w:val="004518D6"/>
    <w:rsid w:val="004668C8"/>
    <w:rsid w:val="00475EA9"/>
    <w:rsid w:val="00493FCD"/>
    <w:rsid w:val="004A6931"/>
    <w:rsid w:val="004A799C"/>
    <w:rsid w:val="004B1402"/>
    <w:rsid w:val="004C489E"/>
    <w:rsid w:val="004C745C"/>
    <w:rsid w:val="004E411A"/>
    <w:rsid w:val="005023DF"/>
    <w:rsid w:val="005040E7"/>
    <w:rsid w:val="0050520A"/>
    <w:rsid w:val="00507941"/>
    <w:rsid w:val="00510AB8"/>
    <w:rsid w:val="0051251F"/>
    <w:rsid w:val="0051575C"/>
    <w:rsid w:val="005250B1"/>
    <w:rsid w:val="00532C02"/>
    <w:rsid w:val="00532D20"/>
    <w:rsid w:val="00534ED9"/>
    <w:rsid w:val="00550B3D"/>
    <w:rsid w:val="00562731"/>
    <w:rsid w:val="005678A8"/>
    <w:rsid w:val="00575801"/>
    <w:rsid w:val="005A38DC"/>
    <w:rsid w:val="005C1220"/>
    <w:rsid w:val="005C43A8"/>
    <w:rsid w:val="00604E09"/>
    <w:rsid w:val="006168BC"/>
    <w:rsid w:val="006268D2"/>
    <w:rsid w:val="00631668"/>
    <w:rsid w:val="006430D8"/>
    <w:rsid w:val="00685FAB"/>
    <w:rsid w:val="006879C3"/>
    <w:rsid w:val="006A3311"/>
    <w:rsid w:val="006C09B2"/>
    <w:rsid w:val="006D3193"/>
    <w:rsid w:val="006E1C2B"/>
    <w:rsid w:val="006E51B9"/>
    <w:rsid w:val="006F5471"/>
    <w:rsid w:val="006F5C31"/>
    <w:rsid w:val="007019C8"/>
    <w:rsid w:val="007060CC"/>
    <w:rsid w:val="007129EC"/>
    <w:rsid w:val="00730197"/>
    <w:rsid w:val="0073368F"/>
    <w:rsid w:val="00740B13"/>
    <w:rsid w:val="0074370A"/>
    <w:rsid w:val="00761BF8"/>
    <w:rsid w:val="007660FE"/>
    <w:rsid w:val="00782826"/>
    <w:rsid w:val="007953F5"/>
    <w:rsid w:val="007A1544"/>
    <w:rsid w:val="007A6517"/>
    <w:rsid w:val="007D0C11"/>
    <w:rsid w:val="007D7C8F"/>
    <w:rsid w:val="007E6DDE"/>
    <w:rsid w:val="007E72BA"/>
    <w:rsid w:val="007E7ADE"/>
    <w:rsid w:val="00823DAF"/>
    <w:rsid w:val="008262BE"/>
    <w:rsid w:val="00832DD4"/>
    <w:rsid w:val="008429A3"/>
    <w:rsid w:val="00842A6F"/>
    <w:rsid w:val="00847F74"/>
    <w:rsid w:val="00850DEB"/>
    <w:rsid w:val="00850DEC"/>
    <w:rsid w:val="008762C7"/>
    <w:rsid w:val="00877016"/>
    <w:rsid w:val="00880D14"/>
    <w:rsid w:val="00893E69"/>
    <w:rsid w:val="008B2387"/>
    <w:rsid w:val="008B454E"/>
    <w:rsid w:val="008B676E"/>
    <w:rsid w:val="008C0835"/>
    <w:rsid w:val="008D6E8E"/>
    <w:rsid w:val="008E0B97"/>
    <w:rsid w:val="008E584C"/>
    <w:rsid w:val="008E6CD1"/>
    <w:rsid w:val="008E7219"/>
    <w:rsid w:val="008F089C"/>
    <w:rsid w:val="009040AF"/>
    <w:rsid w:val="0090446D"/>
    <w:rsid w:val="00907EE6"/>
    <w:rsid w:val="009320E1"/>
    <w:rsid w:val="00943B7B"/>
    <w:rsid w:val="0095686A"/>
    <w:rsid w:val="00961C3E"/>
    <w:rsid w:val="00962DD0"/>
    <w:rsid w:val="00965551"/>
    <w:rsid w:val="00982527"/>
    <w:rsid w:val="0098393B"/>
    <w:rsid w:val="0098613E"/>
    <w:rsid w:val="00993093"/>
    <w:rsid w:val="009A26E9"/>
    <w:rsid w:val="009A7D6E"/>
    <w:rsid w:val="009B5273"/>
    <w:rsid w:val="009B7A1E"/>
    <w:rsid w:val="009C09C0"/>
    <w:rsid w:val="009C5593"/>
    <w:rsid w:val="009D2F16"/>
    <w:rsid w:val="009D5C0F"/>
    <w:rsid w:val="009E3681"/>
    <w:rsid w:val="009F397A"/>
    <w:rsid w:val="009F6819"/>
    <w:rsid w:val="00A05C73"/>
    <w:rsid w:val="00A066B0"/>
    <w:rsid w:val="00A12F99"/>
    <w:rsid w:val="00A1338A"/>
    <w:rsid w:val="00A23C50"/>
    <w:rsid w:val="00A27E54"/>
    <w:rsid w:val="00A33098"/>
    <w:rsid w:val="00A35983"/>
    <w:rsid w:val="00A536CB"/>
    <w:rsid w:val="00A56B6E"/>
    <w:rsid w:val="00A63C47"/>
    <w:rsid w:val="00A671EE"/>
    <w:rsid w:val="00A72CBE"/>
    <w:rsid w:val="00A76B70"/>
    <w:rsid w:val="00A80461"/>
    <w:rsid w:val="00A810B6"/>
    <w:rsid w:val="00A93373"/>
    <w:rsid w:val="00AA22B6"/>
    <w:rsid w:val="00AC119A"/>
    <w:rsid w:val="00AC1263"/>
    <w:rsid w:val="00AD055A"/>
    <w:rsid w:val="00AD48B1"/>
    <w:rsid w:val="00AD66B8"/>
    <w:rsid w:val="00AE589F"/>
    <w:rsid w:val="00B11E70"/>
    <w:rsid w:val="00B164D5"/>
    <w:rsid w:val="00B20C53"/>
    <w:rsid w:val="00B316FD"/>
    <w:rsid w:val="00B32C8E"/>
    <w:rsid w:val="00B50F2E"/>
    <w:rsid w:val="00B70EB0"/>
    <w:rsid w:val="00B7416B"/>
    <w:rsid w:val="00B773A6"/>
    <w:rsid w:val="00B8224F"/>
    <w:rsid w:val="00B8398C"/>
    <w:rsid w:val="00B95C11"/>
    <w:rsid w:val="00B96B43"/>
    <w:rsid w:val="00BA3270"/>
    <w:rsid w:val="00BA5D6A"/>
    <w:rsid w:val="00BC711E"/>
    <w:rsid w:val="00BE0E23"/>
    <w:rsid w:val="00BF70C6"/>
    <w:rsid w:val="00C109A5"/>
    <w:rsid w:val="00C111EA"/>
    <w:rsid w:val="00C1677F"/>
    <w:rsid w:val="00C21675"/>
    <w:rsid w:val="00C27D84"/>
    <w:rsid w:val="00C3094B"/>
    <w:rsid w:val="00C450AA"/>
    <w:rsid w:val="00C70B9E"/>
    <w:rsid w:val="00C71111"/>
    <w:rsid w:val="00C7211B"/>
    <w:rsid w:val="00C77699"/>
    <w:rsid w:val="00C8659D"/>
    <w:rsid w:val="00CA759C"/>
    <w:rsid w:val="00CB0873"/>
    <w:rsid w:val="00CB1A01"/>
    <w:rsid w:val="00CC3F85"/>
    <w:rsid w:val="00CD3D75"/>
    <w:rsid w:val="00CD54C1"/>
    <w:rsid w:val="00CE18BD"/>
    <w:rsid w:val="00CE2C6D"/>
    <w:rsid w:val="00CF1542"/>
    <w:rsid w:val="00D06557"/>
    <w:rsid w:val="00D16B8D"/>
    <w:rsid w:val="00D206EA"/>
    <w:rsid w:val="00D26EE1"/>
    <w:rsid w:val="00D311E3"/>
    <w:rsid w:val="00D31E5A"/>
    <w:rsid w:val="00D37E1F"/>
    <w:rsid w:val="00D43FD3"/>
    <w:rsid w:val="00D54D06"/>
    <w:rsid w:val="00D60025"/>
    <w:rsid w:val="00D62510"/>
    <w:rsid w:val="00D64D8D"/>
    <w:rsid w:val="00D745A6"/>
    <w:rsid w:val="00D810CE"/>
    <w:rsid w:val="00D867DD"/>
    <w:rsid w:val="00DA332D"/>
    <w:rsid w:val="00DA6AAE"/>
    <w:rsid w:val="00DB18DF"/>
    <w:rsid w:val="00DB344B"/>
    <w:rsid w:val="00DC2E3A"/>
    <w:rsid w:val="00DC4AB0"/>
    <w:rsid w:val="00DD233B"/>
    <w:rsid w:val="00DE222F"/>
    <w:rsid w:val="00DE5BA0"/>
    <w:rsid w:val="00DE7F29"/>
    <w:rsid w:val="00DF29EF"/>
    <w:rsid w:val="00DF6272"/>
    <w:rsid w:val="00E06FBC"/>
    <w:rsid w:val="00E10A82"/>
    <w:rsid w:val="00E22D0D"/>
    <w:rsid w:val="00E26F42"/>
    <w:rsid w:val="00E30600"/>
    <w:rsid w:val="00E32E1E"/>
    <w:rsid w:val="00E41BF4"/>
    <w:rsid w:val="00E44AA9"/>
    <w:rsid w:val="00E4673A"/>
    <w:rsid w:val="00E52A49"/>
    <w:rsid w:val="00E72BE6"/>
    <w:rsid w:val="00E75D29"/>
    <w:rsid w:val="00E8645B"/>
    <w:rsid w:val="00EA51F9"/>
    <w:rsid w:val="00EC629C"/>
    <w:rsid w:val="00ED23DD"/>
    <w:rsid w:val="00EF65F7"/>
    <w:rsid w:val="00F0127A"/>
    <w:rsid w:val="00F02594"/>
    <w:rsid w:val="00F156B4"/>
    <w:rsid w:val="00F32002"/>
    <w:rsid w:val="00F33BC2"/>
    <w:rsid w:val="00F47603"/>
    <w:rsid w:val="00F565BE"/>
    <w:rsid w:val="00F7049D"/>
    <w:rsid w:val="00F72571"/>
    <w:rsid w:val="00F83A3D"/>
    <w:rsid w:val="00F84830"/>
    <w:rsid w:val="00FA2255"/>
    <w:rsid w:val="00FB1752"/>
    <w:rsid w:val="00FB2CC8"/>
    <w:rsid w:val="00FB3484"/>
    <w:rsid w:val="00FC31BA"/>
    <w:rsid w:val="00FD3FE7"/>
    <w:rsid w:val="00FE0E30"/>
    <w:rsid w:val="00FE533D"/>
    <w:rsid w:val="00FE68D7"/>
    <w:rsid w:val="00FF58E8"/>
    <w:rsid w:val="00FF6C91"/>
    <w:rsid w:val="1FFF0995"/>
    <w:rsid w:val="FFF5B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unhideWhenUsed/>
    <w:qFormat/>
    <w:uiPriority w:val="99"/>
    <w:pPr>
      <w:snapToGrid w:val="0"/>
      <w:jc w:val="left"/>
    </w:pPr>
    <w:rPr>
      <w:sz w:val="18"/>
      <w:szCs w:val="18"/>
    </w:rPr>
  </w:style>
  <w:style w:type="paragraph" w:styleId="6">
    <w:name w:val="Normal (Web)"/>
    <w:basedOn w:val="1"/>
    <w:qFormat/>
    <w:uiPriority w:val="0"/>
    <w:rPr>
      <w:sz w:val="24"/>
      <w:szCs w:val="24"/>
    </w:rPr>
  </w:style>
  <w:style w:type="character" w:styleId="9">
    <w:name w:val="footnote reference"/>
    <w:basedOn w:val="8"/>
    <w:semiHidden/>
    <w:unhideWhenUsed/>
    <w:qFormat/>
    <w:uiPriority w:val="99"/>
    <w:rPr>
      <w:vertAlign w:val="superscript"/>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标题 1 字符"/>
    <w:basedOn w:val="8"/>
    <w:link w:val="2"/>
    <w:qFormat/>
    <w:uiPriority w:val="9"/>
    <w:rPr>
      <w:b/>
      <w:bCs/>
      <w:kern w:val="44"/>
      <w:sz w:val="44"/>
      <w:szCs w:val="44"/>
    </w:rPr>
  </w:style>
  <w:style w:type="character" w:customStyle="1" w:styleId="13">
    <w:name w:val="脚注文本 字符"/>
    <w:basedOn w:val="8"/>
    <w:link w:val="5"/>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1847</Words>
  <Characters>10528</Characters>
  <Lines>87</Lines>
  <Paragraphs>24</Paragraphs>
  <TotalTime>25</TotalTime>
  <ScaleCrop>false</ScaleCrop>
  <LinksUpToDate>false</LinksUpToDate>
  <CharactersWithSpaces>12351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2023-03-12T10:31:00Z</dcterms:created>
  <dc:creator>Admin</dc:creator>
  <cp:lastModifiedBy>uos</cp:lastModifiedBy>
  <dcterms:modified xsi:type="dcterms:W3CDTF">2023-03-17T17:00:08Z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